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283"/>
        <w:gridCol w:w="142"/>
        <w:gridCol w:w="5902"/>
      </w:tblGrid>
      <w:tr w:rsidR="00FE632B" w:rsidRPr="00EE5A46" w14:paraId="0F5F2B49" w14:textId="77777777" w:rsidTr="00611263">
        <w:tc>
          <w:tcPr>
            <w:tcW w:w="2689" w:type="dxa"/>
            <w:shd w:val="clear" w:color="auto" w:fill="B3E5A1" w:themeFill="accent6" w:themeFillTint="66"/>
          </w:tcPr>
          <w:p w14:paraId="4C805A4E" w14:textId="54A3F720" w:rsidR="00FE632B" w:rsidRPr="00EE5A46" w:rsidRDefault="00FE632B" w:rsidP="004B54B1">
            <w:pPr>
              <w:spacing w:line="360" w:lineRule="auto"/>
              <w:jc w:val="both"/>
              <w:rPr>
                <w:rFonts w:ascii="Times New Roman" w:hAnsi="Times New Roman" w:cs="Times New Roman"/>
                <w:b/>
                <w:bCs/>
              </w:rPr>
            </w:pPr>
            <w:r w:rsidRPr="00EE5A46">
              <w:rPr>
                <w:rFonts w:ascii="Times New Roman" w:hAnsi="Times New Roman" w:cs="Times New Roman"/>
                <w:b/>
                <w:bCs/>
              </w:rPr>
              <w:t>Reference Number</w:t>
            </w:r>
          </w:p>
        </w:tc>
        <w:tc>
          <w:tcPr>
            <w:tcW w:w="6327" w:type="dxa"/>
            <w:gridSpan w:val="3"/>
            <w:shd w:val="clear" w:color="auto" w:fill="B3E5A1" w:themeFill="accent6" w:themeFillTint="66"/>
          </w:tcPr>
          <w:p w14:paraId="73153355" w14:textId="62E1AAF9" w:rsidR="00FE632B" w:rsidRPr="00EE5A46" w:rsidRDefault="00D4284D" w:rsidP="004B54B1">
            <w:pPr>
              <w:spacing w:line="360" w:lineRule="auto"/>
              <w:jc w:val="both"/>
              <w:rPr>
                <w:rFonts w:ascii="Times New Roman" w:eastAsia="Times New Roman" w:hAnsi="Times New Roman" w:cs="Times New Roman"/>
                <w:b/>
                <w:kern w:val="0"/>
                <w14:ligatures w14:val="none"/>
              </w:rPr>
            </w:pPr>
            <w:r w:rsidRPr="00EE5A46">
              <w:rPr>
                <w:rFonts w:ascii="Times New Roman" w:eastAsia="Calibri" w:hAnsi="Times New Roman" w:cs="Times New Roman"/>
                <w:bCs/>
                <w:kern w:val="0"/>
                <w14:ligatures w14:val="none"/>
              </w:rPr>
              <w:t>C</w:t>
            </w:r>
            <w:r w:rsidRPr="00EE5A46">
              <w:rPr>
                <w:rFonts w:ascii="Times New Roman" w:eastAsia="Calibri" w:hAnsi="Times New Roman" w:cs="Times New Roman"/>
                <w:kern w:val="0"/>
                <w14:ligatures w14:val="none"/>
              </w:rPr>
              <w:t>TC/Tech/Mergers/2025/</w:t>
            </w:r>
            <w:r w:rsidR="00732CCB" w:rsidRPr="00EE5A46">
              <w:rPr>
                <w:rFonts w:ascii="Times New Roman" w:eastAsia="Calibri" w:hAnsi="Times New Roman" w:cs="Times New Roman"/>
                <w:kern w:val="0"/>
                <w14:ligatures w14:val="none"/>
              </w:rPr>
              <w:t>09</w:t>
            </w:r>
          </w:p>
        </w:tc>
      </w:tr>
      <w:tr w:rsidR="00FE632B" w:rsidRPr="00EE5A46" w14:paraId="65DD44E5" w14:textId="77777777" w:rsidTr="00611263">
        <w:tc>
          <w:tcPr>
            <w:tcW w:w="2689" w:type="dxa"/>
          </w:tcPr>
          <w:p w14:paraId="510C361B" w14:textId="108C1581" w:rsidR="00FE632B" w:rsidRPr="00EE5A46" w:rsidRDefault="00FE632B" w:rsidP="004B54B1">
            <w:pPr>
              <w:spacing w:line="360" w:lineRule="auto"/>
              <w:jc w:val="both"/>
              <w:rPr>
                <w:rFonts w:ascii="Times New Roman" w:hAnsi="Times New Roman" w:cs="Times New Roman"/>
                <w:b/>
                <w:bCs/>
              </w:rPr>
            </w:pPr>
            <w:r w:rsidRPr="00EE5A46">
              <w:rPr>
                <w:rFonts w:ascii="Times New Roman" w:hAnsi="Times New Roman" w:cs="Times New Roman"/>
                <w:b/>
                <w:bCs/>
              </w:rPr>
              <w:t>Merger</w:t>
            </w:r>
          </w:p>
        </w:tc>
        <w:tc>
          <w:tcPr>
            <w:tcW w:w="6327" w:type="dxa"/>
            <w:gridSpan w:val="3"/>
          </w:tcPr>
          <w:p w14:paraId="5C84988D" w14:textId="217951C3" w:rsidR="00FE632B" w:rsidRPr="00EE5A46" w:rsidRDefault="00841C07" w:rsidP="00841C07">
            <w:pPr>
              <w:spacing w:line="360" w:lineRule="auto"/>
              <w:jc w:val="both"/>
              <w:rPr>
                <w:rFonts w:ascii="Times New Roman" w:hAnsi="Times New Roman" w:cs="Times New Roman"/>
              </w:rPr>
            </w:pPr>
            <w:r w:rsidRPr="00EE5A46">
              <w:rPr>
                <w:rFonts w:ascii="Times New Roman" w:hAnsi="Times New Roman" w:cs="Times New Roman"/>
              </w:rPr>
              <w:t>P</w:t>
            </w:r>
            <w:r w:rsidR="002847AB" w:rsidRPr="00EE5A46">
              <w:rPr>
                <w:rFonts w:ascii="Times New Roman" w:hAnsi="Times New Roman" w:cs="Times New Roman"/>
              </w:rPr>
              <w:t>roposed acquisition of an additional 20% shareholding in Schweppes Holdings Limited by Delta Beverages (Pvt) Ltd</w:t>
            </w:r>
            <w:r w:rsidR="002847AB" w:rsidRPr="00EE5A46">
              <w:rPr>
                <w:rFonts w:ascii="Times New Roman" w:hAnsi="Times New Roman" w:cs="Times New Roman"/>
                <w:b/>
                <w:bCs/>
                <w:i/>
                <w:iCs/>
              </w:rPr>
              <w:t>.</w:t>
            </w:r>
            <w:r w:rsidR="002847AB" w:rsidRPr="00EE5A46">
              <w:rPr>
                <w:rFonts w:ascii="Times New Roman" w:hAnsi="Times New Roman" w:cs="Times New Roman"/>
                <w:b/>
                <w:bCs/>
              </w:rPr>
              <w:t xml:space="preserve"> </w:t>
            </w:r>
          </w:p>
        </w:tc>
      </w:tr>
      <w:tr w:rsidR="00FE632B" w:rsidRPr="00EE5A46" w14:paraId="0A864B40" w14:textId="77777777" w:rsidTr="00611263">
        <w:tc>
          <w:tcPr>
            <w:tcW w:w="2689" w:type="dxa"/>
          </w:tcPr>
          <w:p w14:paraId="74A8DFB4" w14:textId="7A0F2AAC" w:rsidR="00FE632B" w:rsidRPr="00EE5A46" w:rsidRDefault="00DD6478" w:rsidP="004B54B1">
            <w:pPr>
              <w:spacing w:line="360" w:lineRule="auto"/>
              <w:jc w:val="both"/>
              <w:rPr>
                <w:rFonts w:ascii="Times New Roman" w:hAnsi="Times New Roman" w:cs="Times New Roman"/>
                <w:b/>
                <w:bCs/>
              </w:rPr>
            </w:pPr>
            <w:r w:rsidRPr="00EE5A46">
              <w:rPr>
                <w:rFonts w:ascii="Times New Roman" w:hAnsi="Times New Roman" w:cs="Times New Roman"/>
                <w:b/>
                <w:bCs/>
              </w:rPr>
              <w:t xml:space="preserve">Full </w:t>
            </w:r>
            <w:r w:rsidR="00FE632B" w:rsidRPr="00EE5A46">
              <w:rPr>
                <w:rFonts w:ascii="Times New Roman" w:hAnsi="Times New Roman" w:cs="Times New Roman"/>
                <w:b/>
                <w:bCs/>
              </w:rPr>
              <w:t>Notifi</w:t>
            </w:r>
            <w:r w:rsidRPr="00EE5A46">
              <w:rPr>
                <w:rFonts w:ascii="Times New Roman" w:hAnsi="Times New Roman" w:cs="Times New Roman"/>
                <w:b/>
                <w:bCs/>
              </w:rPr>
              <w:t>cation Date</w:t>
            </w:r>
          </w:p>
        </w:tc>
        <w:tc>
          <w:tcPr>
            <w:tcW w:w="6327" w:type="dxa"/>
            <w:gridSpan w:val="3"/>
          </w:tcPr>
          <w:p w14:paraId="0D9AE66B" w14:textId="1EC7E4B0" w:rsidR="00FE632B" w:rsidRPr="00EE5A46" w:rsidRDefault="000614AF" w:rsidP="004B54B1">
            <w:pPr>
              <w:spacing w:line="360" w:lineRule="auto"/>
              <w:jc w:val="both"/>
              <w:rPr>
                <w:rFonts w:ascii="Times New Roman" w:hAnsi="Times New Roman" w:cs="Times New Roman"/>
              </w:rPr>
            </w:pPr>
            <w:r w:rsidRPr="00EE5A46">
              <w:rPr>
                <w:rFonts w:ascii="Times New Roman" w:hAnsi="Times New Roman" w:cs="Times New Roman"/>
              </w:rPr>
              <w:t>03 April 2025</w:t>
            </w:r>
          </w:p>
        </w:tc>
      </w:tr>
      <w:tr w:rsidR="00FE632B" w:rsidRPr="00EE5A46" w14:paraId="0FD0F9C6" w14:textId="77777777" w:rsidTr="00611263">
        <w:tc>
          <w:tcPr>
            <w:tcW w:w="2689" w:type="dxa"/>
          </w:tcPr>
          <w:p w14:paraId="5D018873" w14:textId="3F41F243" w:rsidR="00FE632B" w:rsidRPr="00EE5A46" w:rsidRDefault="00FE632B" w:rsidP="004B54B1">
            <w:pPr>
              <w:spacing w:line="360" w:lineRule="auto"/>
              <w:jc w:val="both"/>
              <w:rPr>
                <w:rFonts w:ascii="Times New Roman" w:hAnsi="Times New Roman" w:cs="Times New Roman"/>
                <w:b/>
                <w:bCs/>
              </w:rPr>
            </w:pPr>
            <w:r w:rsidRPr="00EE5A46">
              <w:rPr>
                <w:rFonts w:ascii="Times New Roman" w:hAnsi="Times New Roman" w:cs="Times New Roman"/>
                <w:b/>
                <w:bCs/>
              </w:rPr>
              <w:t>Acquirer</w:t>
            </w:r>
          </w:p>
        </w:tc>
        <w:tc>
          <w:tcPr>
            <w:tcW w:w="6327" w:type="dxa"/>
            <w:gridSpan w:val="3"/>
          </w:tcPr>
          <w:p w14:paraId="1EDC9871" w14:textId="3274D048" w:rsidR="00FE632B" w:rsidRPr="00EE5A46" w:rsidRDefault="0027729A" w:rsidP="004B54B1">
            <w:pPr>
              <w:spacing w:line="360" w:lineRule="auto"/>
              <w:jc w:val="both"/>
              <w:rPr>
                <w:rFonts w:ascii="Times New Roman" w:hAnsi="Times New Roman" w:cs="Times New Roman"/>
              </w:rPr>
            </w:pPr>
            <w:r w:rsidRPr="00EE5A46">
              <w:rPr>
                <w:rFonts w:ascii="Times New Roman" w:hAnsi="Times New Roman" w:cs="Times New Roman"/>
              </w:rPr>
              <w:t>Delta Beverages (Pvt) Ltd</w:t>
            </w:r>
          </w:p>
        </w:tc>
      </w:tr>
      <w:tr w:rsidR="00FE632B" w:rsidRPr="00EE5A46" w14:paraId="208E9CCB" w14:textId="77777777" w:rsidTr="00611263">
        <w:tc>
          <w:tcPr>
            <w:tcW w:w="2689" w:type="dxa"/>
          </w:tcPr>
          <w:p w14:paraId="5F0AE8C9" w14:textId="6C72EC1F" w:rsidR="00FE632B" w:rsidRPr="00EE5A46" w:rsidRDefault="00FE632B" w:rsidP="004B54B1">
            <w:pPr>
              <w:spacing w:line="360" w:lineRule="auto"/>
              <w:jc w:val="both"/>
              <w:rPr>
                <w:rFonts w:ascii="Times New Roman" w:hAnsi="Times New Roman" w:cs="Times New Roman"/>
                <w:b/>
                <w:bCs/>
              </w:rPr>
            </w:pPr>
            <w:r w:rsidRPr="00EE5A46">
              <w:rPr>
                <w:rFonts w:ascii="Times New Roman" w:hAnsi="Times New Roman" w:cs="Times New Roman"/>
                <w:b/>
                <w:bCs/>
              </w:rPr>
              <w:t>Target</w:t>
            </w:r>
          </w:p>
        </w:tc>
        <w:tc>
          <w:tcPr>
            <w:tcW w:w="6327" w:type="dxa"/>
            <w:gridSpan w:val="3"/>
          </w:tcPr>
          <w:p w14:paraId="40914847" w14:textId="4D9C82A6" w:rsidR="00FE632B" w:rsidRPr="00EE5A46" w:rsidRDefault="008F6A2E" w:rsidP="004B54B1">
            <w:pPr>
              <w:spacing w:line="360" w:lineRule="auto"/>
              <w:jc w:val="both"/>
              <w:rPr>
                <w:rFonts w:ascii="Times New Roman" w:hAnsi="Times New Roman" w:cs="Times New Roman"/>
              </w:rPr>
            </w:pPr>
            <w:r w:rsidRPr="00EE5A46">
              <w:rPr>
                <w:rFonts w:ascii="Times New Roman" w:hAnsi="Times New Roman" w:cs="Times New Roman"/>
              </w:rPr>
              <w:t>Schweppes Holdings Limited</w:t>
            </w:r>
          </w:p>
        </w:tc>
      </w:tr>
      <w:tr w:rsidR="00FE632B" w:rsidRPr="00EE5A46" w14:paraId="01B60FD8" w14:textId="77777777" w:rsidTr="00BF4E6F">
        <w:tc>
          <w:tcPr>
            <w:tcW w:w="9016" w:type="dxa"/>
            <w:gridSpan w:val="4"/>
          </w:tcPr>
          <w:p w14:paraId="7011AD78" w14:textId="77777777" w:rsidR="004F6978" w:rsidRPr="00EE5A46" w:rsidRDefault="00FE632B" w:rsidP="004F6978">
            <w:pPr>
              <w:spacing w:line="360" w:lineRule="auto"/>
              <w:jc w:val="both"/>
              <w:rPr>
                <w:rFonts w:ascii="Times New Roman" w:hAnsi="Times New Roman" w:cs="Times New Roman"/>
                <w:b/>
                <w:bCs/>
              </w:rPr>
            </w:pPr>
            <w:r w:rsidRPr="00EE5A46">
              <w:rPr>
                <w:rFonts w:ascii="Times New Roman" w:hAnsi="Times New Roman" w:cs="Times New Roman"/>
                <w:b/>
                <w:bCs/>
              </w:rPr>
              <w:t>Merger Details</w:t>
            </w:r>
          </w:p>
          <w:p w14:paraId="5DC02A16" w14:textId="32A8C21C" w:rsidR="004F6978" w:rsidRPr="00EE5A46" w:rsidRDefault="004F6978" w:rsidP="004F6978">
            <w:pPr>
              <w:spacing w:line="360" w:lineRule="auto"/>
              <w:jc w:val="both"/>
              <w:rPr>
                <w:rFonts w:ascii="Times New Roman" w:hAnsi="Times New Roman" w:cs="Times New Roman"/>
              </w:rPr>
            </w:pPr>
            <w:r w:rsidRPr="00EE5A46">
              <w:rPr>
                <w:rFonts w:ascii="Times New Roman" w:hAnsi="Times New Roman" w:cs="Times New Roman"/>
              </w:rPr>
              <w:t xml:space="preserve">The transaction entails the proposed indirect acquisition of an additional 20% shareholding in Schweppes Holdings Limited </w:t>
            </w:r>
            <w:r w:rsidRPr="00EE5A46">
              <w:rPr>
                <w:rFonts w:ascii="Times New Roman" w:hAnsi="Times New Roman" w:cs="Times New Roman"/>
                <w:b/>
                <w:bCs/>
                <w:i/>
                <w:iCs/>
              </w:rPr>
              <w:t>(“SHAL”)</w:t>
            </w:r>
            <w:r w:rsidRPr="00EE5A46">
              <w:rPr>
                <w:rFonts w:ascii="Times New Roman" w:hAnsi="Times New Roman" w:cs="Times New Roman"/>
                <w:i/>
                <w:iCs/>
              </w:rPr>
              <w:t xml:space="preserve"> </w:t>
            </w:r>
            <w:r w:rsidRPr="00EE5A46">
              <w:rPr>
                <w:rFonts w:ascii="Times New Roman" w:hAnsi="Times New Roman" w:cs="Times New Roman"/>
              </w:rPr>
              <w:t xml:space="preserve">by Delta Beverages (Pvt) Ltd </w:t>
            </w:r>
            <w:r w:rsidRPr="00EE5A46">
              <w:rPr>
                <w:rFonts w:ascii="Times New Roman" w:hAnsi="Times New Roman" w:cs="Times New Roman"/>
                <w:b/>
                <w:bCs/>
                <w:i/>
                <w:iCs/>
              </w:rPr>
              <w:t>(“Delta Beverages”).</w:t>
            </w:r>
            <w:r w:rsidRPr="00EE5A46">
              <w:rPr>
                <w:rFonts w:ascii="Times New Roman" w:hAnsi="Times New Roman" w:cs="Times New Roman"/>
                <w:b/>
                <w:bCs/>
              </w:rPr>
              <w:t xml:space="preserve"> </w:t>
            </w:r>
            <w:r w:rsidRPr="00EE5A46">
              <w:rPr>
                <w:rFonts w:ascii="Times New Roman" w:hAnsi="Times New Roman" w:cs="Times New Roman"/>
              </w:rPr>
              <w:t xml:space="preserve">The 20% shareholding is currently held by Beverages Partners Zimbabwe Limited </w:t>
            </w:r>
            <w:r w:rsidRPr="00EE5A46">
              <w:rPr>
                <w:rFonts w:ascii="Times New Roman" w:hAnsi="Times New Roman" w:cs="Times New Roman"/>
                <w:i/>
                <w:iCs/>
              </w:rPr>
              <w:t>(</w:t>
            </w:r>
            <w:r w:rsidRPr="00EE5A46">
              <w:rPr>
                <w:rFonts w:ascii="Times New Roman" w:hAnsi="Times New Roman" w:cs="Times New Roman"/>
                <w:b/>
                <w:bCs/>
                <w:i/>
                <w:iCs/>
              </w:rPr>
              <w:t>“BPZ”</w:t>
            </w:r>
            <w:r w:rsidRPr="00EE5A46">
              <w:rPr>
                <w:rFonts w:ascii="Times New Roman" w:hAnsi="Times New Roman" w:cs="Times New Roman"/>
                <w:i/>
                <w:iCs/>
              </w:rPr>
              <w:t>),</w:t>
            </w:r>
            <w:r w:rsidRPr="00EE5A46">
              <w:rPr>
                <w:rFonts w:ascii="Times New Roman" w:hAnsi="Times New Roman" w:cs="Times New Roman"/>
              </w:rPr>
              <w:t xml:space="preserve"> through its effective 39.2% shareholding in Whaterton Investments P/L </w:t>
            </w:r>
            <w:r w:rsidRPr="00EE5A46">
              <w:rPr>
                <w:rFonts w:ascii="Times New Roman" w:hAnsi="Times New Roman" w:cs="Times New Roman"/>
                <w:i/>
                <w:iCs/>
              </w:rPr>
              <w:t>(</w:t>
            </w:r>
            <w:r w:rsidRPr="00EE5A46">
              <w:rPr>
                <w:rFonts w:ascii="Times New Roman" w:hAnsi="Times New Roman" w:cs="Times New Roman"/>
                <w:b/>
                <w:bCs/>
                <w:i/>
                <w:iCs/>
              </w:rPr>
              <w:t>“Whaterton Investments”</w:t>
            </w:r>
            <w:r w:rsidRPr="00EE5A46">
              <w:rPr>
                <w:rFonts w:ascii="Times New Roman" w:hAnsi="Times New Roman" w:cs="Times New Roman"/>
                <w:i/>
                <w:iCs/>
              </w:rPr>
              <w:t>)</w:t>
            </w:r>
            <w:r w:rsidRPr="00EE5A46">
              <w:rPr>
                <w:rFonts w:ascii="Times New Roman" w:hAnsi="Times New Roman" w:cs="Times New Roman"/>
              </w:rPr>
              <w:t xml:space="preserve">. Whaterton Investments, in turn, holds a 51% shareholding in SHAL. Delta Beverages currently holds 49% shareholding in SHAL which will increase to 69% post-merger. Post-merger, the Schweppes Employees Share Trust will hold 31%. </w:t>
            </w:r>
          </w:p>
          <w:p w14:paraId="6AD01464" w14:textId="77777777" w:rsidR="00892E44" w:rsidRPr="00EE5A46" w:rsidRDefault="00892E44" w:rsidP="004F6978">
            <w:pPr>
              <w:spacing w:line="360" w:lineRule="auto"/>
              <w:jc w:val="both"/>
              <w:rPr>
                <w:rFonts w:ascii="Times New Roman" w:hAnsi="Times New Roman" w:cs="Times New Roman"/>
                <w:b/>
                <w:bCs/>
              </w:rPr>
            </w:pPr>
          </w:p>
          <w:p w14:paraId="4101A590" w14:textId="77777777" w:rsidR="00892E44" w:rsidRPr="00EE5A46" w:rsidRDefault="00892E44" w:rsidP="00892E44">
            <w:pPr>
              <w:spacing w:line="360" w:lineRule="auto"/>
              <w:jc w:val="both"/>
              <w:rPr>
                <w:rFonts w:ascii="Times New Roman" w:hAnsi="Times New Roman" w:cs="Times New Roman"/>
              </w:rPr>
            </w:pPr>
            <w:r w:rsidRPr="00EE5A46">
              <w:rPr>
                <w:rFonts w:ascii="Times New Roman" w:hAnsi="Times New Roman" w:cs="Times New Roman"/>
              </w:rPr>
              <w:t>In 2009, the Commission conditionally approved acquisition of 49% shareholding in SHAL by Delta Beverages and one of the conditions of approval was that any amendments to the shareholder’s agreement between Delta Beverages and Whaterton Investments are required to be approved by the Commission before implementation, hence the basis for the notification of the transaction.</w:t>
            </w:r>
          </w:p>
          <w:p w14:paraId="21A89884" w14:textId="77777777" w:rsidR="00892E44" w:rsidRPr="00EE5A46" w:rsidRDefault="00892E44" w:rsidP="00892E44">
            <w:pPr>
              <w:spacing w:line="360" w:lineRule="auto"/>
              <w:jc w:val="both"/>
              <w:rPr>
                <w:rFonts w:ascii="Times New Roman" w:hAnsi="Times New Roman" w:cs="Times New Roman"/>
              </w:rPr>
            </w:pPr>
          </w:p>
          <w:p w14:paraId="1F8663F9" w14:textId="6D343DF5" w:rsidR="008F6A2E" w:rsidRPr="00EE5A46" w:rsidRDefault="00892E44" w:rsidP="004B54B1">
            <w:pPr>
              <w:spacing w:line="360" w:lineRule="auto"/>
              <w:jc w:val="both"/>
              <w:rPr>
                <w:rFonts w:ascii="Times New Roman" w:hAnsi="Times New Roman" w:cs="Times New Roman"/>
              </w:rPr>
            </w:pPr>
            <w:r w:rsidRPr="00EE5A46">
              <w:rPr>
                <w:rFonts w:ascii="Times New Roman" w:hAnsi="Times New Roman" w:cs="Times New Roman"/>
              </w:rPr>
              <w:t xml:space="preserve">Delta Beverages is a company incorporated under the laws of Zimbabwe and is a wholly owned subsidiary of Delta Corporation Limited </w:t>
            </w:r>
            <w:r w:rsidRPr="00EE5A46">
              <w:rPr>
                <w:rFonts w:ascii="Times New Roman" w:hAnsi="Times New Roman" w:cs="Times New Roman"/>
                <w:i/>
                <w:iCs/>
              </w:rPr>
              <w:t>(“</w:t>
            </w:r>
            <w:r w:rsidRPr="00EE5A46">
              <w:rPr>
                <w:rFonts w:ascii="Times New Roman" w:hAnsi="Times New Roman" w:cs="Times New Roman"/>
                <w:b/>
                <w:bCs/>
                <w:i/>
                <w:iCs/>
              </w:rPr>
              <w:t>Delta Corporation</w:t>
            </w:r>
            <w:r w:rsidRPr="00EE5A46">
              <w:rPr>
                <w:rFonts w:ascii="Times New Roman" w:hAnsi="Times New Roman" w:cs="Times New Roman"/>
                <w:i/>
                <w:iCs/>
              </w:rPr>
              <w:t xml:space="preserve">”), </w:t>
            </w:r>
            <w:r w:rsidRPr="00EE5A46">
              <w:rPr>
                <w:rFonts w:ascii="Times New Roman" w:hAnsi="Times New Roman" w:cs="Times New Roman"/>
              </w:rPr>
              <w:t>a company listed on the Zimbabwe Stock Exchange(</w:t>
            </w:r>
            <w:r w:rsidRPr="00EE5A46">
              <w:rPr>
                <w:rFonts w:ascii="Times New Roman" w:hAnsi="Times New Roman" w:cs="Times New Roman"/>
                <w:b/>
                <w:bCs/>
                <w:i/>
                <w:iCs/>
              </w:rPr>
              <w:t>ZSE)</w:t>
            </w:r>
            <w:r w:rsidRPr="00EE5A46">
              <w:rPr>
                <w:rFonts w:ascii="Times New Roman" w:hAnsi="Times New Roman" w:cs="Times New Roman"/>
              </w:rPr>
              <w:t>. SHAL is a company incorporated under the laws of Zimbabwe and is owned by Delta Corporation (49%) and Whaterton Investments (51%). SHAL owns three subsidiaries - Schweppes Zimbabwe Limited, Beit Bridge Juicing Company, and Schweppes Exports (Pvt) Ltd Zimbabwe.</w:t>
            </w:r>
          </w:p>
        </w:tc>
      </w:tr>
      <w:tr w:rsidR="00FE632B" w:rsidRPr="00EE5A46" w14:paraId="29EE59D8" w14:textId="77777777" w:rsidTr="00611263">
        <w:tc>
          <w:tcPr>
            <w:tcW w:w="2689" w:type="dxa"/>
          </w:tcPr>
          <w:p w14:paraId="408A706A" w14:textId="5414E7AF" w:rsidR="00FE632B" w:rsidRPr="00EE5A46" w:rsidRDefault="00FE632B" w:rsidP="004B54B1">
            <w:pPr>
              <w:spacing w:line="360" w:lineRule="auto"/>
              <w:jc w:val="both"/>
              <w:rPr>
                <w:rFonts w:ascii="Times New Roman" w:hAnsi="Times New Roman" w:cs="Times New Roman"/>
                <w:b/>
                <w:bCs/>
              </w:rPr>
            </w:pPr>
            <w:r w:rsidRPr="00EE5A46">
              <w:rPr>
                <w:rFonts w:ascii="Times New Roman" w:hAnsi="Times New Roman" w:cs="Times New Roman"/>
                <w:b/>
                <w:bCs/>
              </w:rPr>
              <w:t>Relevant Market</w:t>
            </w:r>
          </w:p>
        </w:tc>
        <w:tc>
          <w:tcPr>
            <w:tcW w:w="6327" w:type="dxa"/>
            <w:gridSpan w:val="3"/>
          </w:tcPr>
          <w:p w14:paraId="2352290C" w14:textId="77777777" w:rsidR="00F47CF1" w:rsidRPr="00EE5A46" w:rsidRDefault="00F47CF1" w:rsidP="00F47CF1">
            <w:pPr>
              <w:numPr>
                <w:ilvl w:val="0"/>
                <w:numId w:val="3"/>
              </w:numPr>
              <w:spacing w:after="160" w:line="360" w:lineRule="auto"/>
              <w:contextualSpacing/>
              <w:jc w:val="both"/>
              <w:rPr>
                <w:rFonts w:ascii="Times New Roman" w:hAnsi="Times New Roman" w:cs="Times New Roman"/>
                <w:i/>
                <w:iCs/>
              </w:rPr>
            </w:pPr>
            <w:r w:rsidRPr="00EE5A46">
              <w:rPr>
                <w:rFonts w:ascii="Times New Roman" w:hAnsi="Times New Roman" w:cs="Times New Roman"/>
                <w:i/>
                <w:iCs/>
              </w:rPr>
              <w:t>production and distribution of carbonated soft drinks in Zimbabwe.</w:t>
            </w:r>
          </w:p>
          <w:p w14:paraId="1D6A0E5F" w14:textId="77777777" w:rsidR="001152C2" w:rsidRPr="00EE5A46" w:rsidRDefault="00F47CF1" w:rsidP="001152C2">
            <w:pPr>
              <w:numPr>
                <w:ilvl w:val="0"/>
                <w:numId w:val="3"/>
              </w:numPr>
              <w:spacing w:after="160" w:line="360" w:lineRule="auto"/>
              <w:contextualSpacing/>
              <w:jc w:val="both"/>
              <w:rPr>
                <w:rFonts w:ascii="Times New Roman" w:hAnsi="Times New Roman" w:cs="Times New Roman"/>
                <w:i/>
                <w:iCs/>
              </w:rPr>
            </w:pPr>
            <w:r w:rsidRPr="00EE5A46">
              <w:rPr>
                <w:rFonts w:ascii="Times New Roman" w:hAnsi="Times New Roman" w:cs="Times New Roman"/>
                <w:i/>
                <w:iCs/>
              </w:rPr>
              <w:t>production and distribution of cordial beverages in Zimbabwe.</w:t>
            </w:r>
          </w:p>
          <w:p w14:paraId="1A076D07" w14:textId="7A7609FC" w:rsidR="00FE632B" w:rsidRPr="00EE5A46" w:rsidRDefault="00F47CF1" w:rsidP="001152C2">
            <w:pPr>
              <w:numPr>
                <w:ilvl w:val="0"/>
                <w:numId w:val="3"/>
              </w:numPr>
              <w:spacing w:after="160" w:line="360" w:lineRule="auto"/>
              <w:contextualSpacing/>
              <w:jc w:val="both"/>
              <w:rPr>
                <w:rFonts w:ascii="Times New Roman" w:hAnsi="Times New Roman" w:cs="Times New Roman"/>
                <w:i/>
                <w:iCs/>
              </w:rPr>
            </w:pPr>
            <w:r w:rsidRPr="00EE5A46">
              <w:rPr>
                <w:rFonts w:ascii="Times New Roman" w:hAnsi="Times New Roman" w:cs="Times New Roman"/>
                <w:i/>
                <w:iCs/>
              </w:rPr>
              <w:t>production and distribution of Ready To Drink beverages in Zimbabwe.</w:t>
            </w:r>
          </w:p>
        </w:tc>
      </w:tr>
      <w:tr w:rsidR="00FE632B" w:rsidRPr="00EE5A46" w14:paraId="1CC752EE" w14:textId="77777777" w:rsidTr="00611263">
        <w:tc>
          <w:tcPr>
            <w:tcW w:w="2689" w:type="dxa"/>
          </w:tcPr>
          <w:p w14:paraId="37F98511" w14:textId="75D228D4" w:rsidR="00FE632B" w:rsidRPr="00EE5A46" w:rsidRDefault="00FE632B" w:rsidP="004B54B1">
            <w:pPr>
              <w:spacing w:line="360" w:lineRule="auto"/>
              <w:jc w:val="both"/>
              <w:rPr>
                <w:rFonts w:ascii="Times New Roman" w:hAnsi="Times New Roman" w:cs="Times New Roman"/>
                <w:b/>
                <w:bCs/>
              </w:rPr>
            </w:pPr>
            <w:r w:rsidRPr="00EE5A46">
              <w:rPr>
                <w:rFonts w:ascii="Times New Roman" w:hAnsi="Times New Roman" w:cs="Times New Roman"/>
                <w:b/>
                <w:bCs/>
              </w:rPr>
              <w:lastRenderedPageBreak/>
              <w:t>Type of Merger</w:t>
            </w:r>
          </w:p>
        </w:tc>
        <w:tc>
          <w:tcPr>
            <w:tcW w:w="6327" w:type="dxa"/>
            <w:gridSpan w:val="3"/>
          </w:tcPr>
          <w:p w14:paraId="7A72AF98" w14:textId="2519197D" w:rsidR="00FE632B" w:rsidRPr="00EE5A46" w:rsidRDefault="00B0032F" w:rsidP="004B54B1">
            <w:pPr>
              <w:spacing w:line="360" w:lineRule="auto"/>
              <w:jc w:val="both"/>
              <w:rPr>
                <w:rFonts w:ascii="Times New Roman" w:hAnsi="Times New Roman" w:cs="Times New Roman"/>
              </w:rPr>
            </w:pPr>
            <w:r w:rsidRPr="00EE5A46">
              <w:rPr>
                <w:rFonts w:ascii="Times New Roman" w:hAnsi="Times New Roman" w:cs="Times New Roman"/>
              </w:rPr>
              <w:t xml:space="preserve">Conglomerate </w:t>
            </w:r>
          </w:p>
        </w:tc>
      </w:tr>
      <w:tr w:rsidR="00FE632B" w:rsidRPr="00EE5A46" w14:paraId="270C212C" w14:textId="77777777" w:rsidTr="00EE66AB">
        <w:tc>
          <w:tcPr>
            <w:tcW w:w="9016" w:type="dxa"/>
            <w:gridSpan w:val="4"/>
          </w:tcPr>
          <w:p w14:paraId="327140E7" w14:textId="77777777" w:rsidR="00FE632B" w:rsidRPr="00EE5A46" w:rsidRDefault="00FE632B" w:rsidP="004B54B1">
            <w:pPr>
              <w:spacing w:line="360" w:lineRule="auto"/>
              <w:jc w:val="both"/>
              <w:rPr>
                <w:rFonts w:ascii="Times New Roman" w:hAnsi="Times New Roman" w:cs="Times New Roman"/>
                <w:b/>
                <w:bCs/>
              </w:rPr>
            </w:pPr>
            <w:r w:rsidRPr="00EE5A46">
              <w:rPr>
                <w:rFonts w:ascii="Times New Roman" w:hAnsi="Times New Roman" w:cs="Times New Roman"/>
                <w:b/>
                <w:bCs/>
              </w:rPr>
              <w:t xml:space="preserve">Commission’s Decision </w:t>
            </w:r>
          </w:p>
          <w:p w14:paraId="28855B58" w14:textId="77777777" w:rsidR="00981D42" w:rsidRPr="00EE5A46" w:rsidRDefault="00981D42" w:rsidP="00D93C5A">
            <w:pPr>
              <w:spacing w:line="360" w:lineRule="auto"/>
              <w:jc w:val="both"/>
              <w:rPr>
                <w:rFonts w:ascii="Times New Roman" w:hAnsi="Times New Roman" w:cs="Times New Roman"/>
                <w:b/>
                <w:bCs/>
                <w:i/>
                <w:iCs/>
              </w:rPr>
            </w:pPr>
          </w:p>
          <w:p w14:paraId="3DD39C7C" w14:textId="76EE4E0B" w:rsidR="00D93C5A" w:rsidRPr="00EE5A46" w:rsidRDefault="00D93C5A" w:rsidP="00D93C5A">
            <w:pPr>
              <w:spacing w:line="360" w:lineRule="auto"/>
              <w:jc w:val="both"/>
              <w:rPr>
                <w:rFonts w:ascii="Times New Roman" w:hAnsi="Times New Roman" w:cs="Times New Roman"/>
              </w:rPr>
            </w:pPr>
            <w:r w:rsidRPr="00EE5A46">
              <w:rPr>
                <w:rFonts w:ascii="Times New Roman" w:hAnsi="Times New Roman" w:cs="Times New Roman"/>
                <w:b/>
                <w:bCs/>
                <w:i/>
                <w:iCs/>
              </w:rPr>
              <w:t xml:space="preserve">The </w:t>
            </w:r>
            <w:r w:rsidR="00981D42" w:rsidRPr="00EE5A46">
              <w:rPr>
                <w:rFonts w:ascii="Times New Roman" w:hAnsi="Times New Roman" w:cs="Times New Roman"/>
                <w:b/>
                <w:bCs/>
                <w:i/>
                <w:iCs/>
              </w:rPr>
              <w:t>m</w:t>
            </w:r>
            <w:r w:rsidRPr="00EE5A46">
              <w:rPr>
                <w:rFonts w:ascii="Times New Roman" w:hAnsi="Times New Roman" w:cs="Times New Roman"/>
                <w:b/>
                <w:bCs/>
                <w:i/>
                <w:iCs/>
              </w:rPr>
              <w:t>erger was approved on condition that</w:t>
            </w:r>
            <w:r w:rsidRPr="00EE5A46">
              <w:rPr>
                <w:rFonts w:ascii="Times New Roman" w:hAnsi="Times New Roman" w:cs="Times New Roman"/>
              </w:rPr>
              <w:t>:</w:t>
            </w:r>
          </w:p>
          <w:p w14:paraId="7A270E38" w14:textId="77777777" w:rsidR="00D93C5A" w:rsidRPr="00EE5A46" w:rsidRDefault="00D93C5A" w:rsidP="00D93C5A">
            <w:pPr>
              <w:pStyle w:val="ListParagraph"/>
              <w:spacing w:line="360" w:lineRule="auto"/>
              <w:jc w:val="both"/>
              <w:rPr>
                <w:rFonts w:ascii="Times New Roman" w:hAnsi="Times New Roman" w:cs="Times New Roman"/>
                <w:sz w:val="10"/>
                <w:szCs w:val="10"/>
              </w:rPr>
            </w:pPr>
          </w:p>
          <w:p w14:paraId="47597DFE" w14:textId="77777777" w:rsidR="00D93C5A" w:rsidRPr="00EE5A46" w:rsidRDefault="00D93C5A" w:rsidP="00D93C5A">
            <w:pPr>
              <w:spacing w:line="360" w:lineRule="auto"/>
              <w:jc w:val="both"/>
              <w:rPr>
                <w:rFonts w:ascii="Times New Roman" w:hAnsi="Times New Roman" w:cs="Times New Roman"/>
                <w:i/>
                <w:iCs/>
              </w:rPr>
            </w:pPr>
            <w:r w:rsidRPr="00EE5A46">
              <w:rPr>
                <w:rFonts w:ascii="Times New Roman" w:hAnsi="Times New Roman" w:cs="Times New Roman"/>
                <w:i/>
                <w:iCs/>
              </w:rPr>
              <w:t>For a period of 24 months, from the date of approval of the transaction by the Commission, the Merged Entity shall not terminate any employment contract as a result of the merger, except for positions at Senior Management Level. Termination of contract does not include:-</w:t>
            </w:r>
          </w:p>
          <w:p w14:paraId="4F4358A8" w14:textId="77777777" w:rsidR="00D93C5A" w:rsidRPr="00EE5A46" w:rsidRDefault="00D93C5A" w:rsidP="00D93C5A">
            <w:pPr>
              <w:spacing w:line="360" w:lineRule="auto"/>
              <w:jc w:val="both"/>
              <w:rPr>
                <w:rFonts w:ascii="Times New Roman" w:hAnsi="Times New Roman" w:cs="Times New Roman"/>
                <w:i/>
                <w:iCs/>
                <w:sz w:val="10"/>
                <w:szCs w:val="10"/>
              </w:rPr>
            </w:pPr>
          </w:p>
          <w:p w14:paraId="65AD07A3" w14:textId="77777777" w:rsidR="00D93C5A" w:rsidRPr="00EE5A46" w:rsidRDefault="00D93C5A" w:rsidP="00D93C5A">
            <w:pPr>
              <w:pStyle w:val="ListParagraph"/>
              <w:numPr>
                <w:ilvl w:val="0"/>
                <w:numId w:val="2"/>
              </w:numPr>
              <w:spacing w:line="360" w:lineRule="auto"/>
              <w:jc w:val="both"/>
              <w:rPr>
                <w:rFonts w:ascii="Times New Roman" w:hAnsi="Times New Roman" w:cs="Times New Roman"/>
                <w:i/>
                <w:iCs/>
              </w:rPr>
            </w:pPr>
            <w:r w:rsidRPr="00EE5A46">
              <w:rPr>
                <w:rFonts w:ascii="Times New Roman" w:hAnsi="Times New Roman" w:cs="Times New Roman"/>
                <w:i/>
                <w:iCs/>
              </w:rPr>
              <w:t>voluntary retrenchment and/or voluntary separation arrangements;</w:t>
            </w:r>
          </w:p>
          <w:p w14:paraId="3A0AD38E" w14:textId="77777777" w:rsidR="00D93C5A" w:rsidRPr="00EE5A46" w:rsidRDefault="00D93C5A" w:rsidP="00D93C5A">
            <w:pPr>
              <w:pStyle w:val="ListParagraph"/>
              <w:numPr>
                <w:ilvl w:val="0"/>
                <w:numId w:val="2"/>
              </w:numPr>
              <w:spacing w:line="360" w:lineRule="auto"/>
              <w:jc w:val="both"/>
              <w:rPr>
                <w:rFonts w:ascii="Times New Roman" w:hAnsi="Times New Roman" w:cs="Times New Roman"/>
                <w:i/>
                <w:iCs/>
              </w:rPr>
            </w:pPr>
            <w:r w:rsidRPr="00EE5A46">
              <w:rPr>
                <w:rFonts w:ascii="Times New Roman" w:hAnsi="Times New Roman" w:cs="Times New Roman"/>
                <w:i/>
                <w:iCs/>
              </w:rPr>
              <w:t>separation upon the agreement with employees;</w:t>
            </w:r>
          </w:p>
          <w:p w14:paraId="4C62B22C" w14:textId="77777777" w:rsidR="00D93C5A" w:rsidRPr="00EE5A46" w:rsidRDefault="00D93C5A" w:rsidP="00D93C5A">
            <w:pPr>
              <w:pStyle w:val="ListParagraph"/>
              <w:numPr>
                <w:ilvl w:val="0"/>
                <w:numId w:val="2"/>
              </w:numPr>
              <w:spacing w:line="360" w:lineRule="auto"/>
              <w:jc w:val="both"/>
              <w:rPr>
                <w:rFonts w:ascii="Times New Roman" w:hAnsi="Times New Roman" w:cs="Times New Roman"/>
                <w:i/>
                <w:iCs/>
              </w:rPr>
            </w:pPr>
            <w:r w:rsidRPr="00EE5A46">
              <w:rPr>
                <w:rFonts w:ascii="Times New Roman" w:hAnsi="Times New Roman" w:cs="Times New Roman"/>
                <w:i/>
                <w:iCs/>
              </w:rPr>
              <w:t xml:space="preserve">voluntary early retirement offers; </w:t>
            </w:r>
          </w:p>
          <w:p w14:paraId="015A15AF" w14:textId="77777777" w:rsidR="00D93C5A" w:rsidRPr="00EE5A46" w:rsidRDefault="00D93C5A" w:rsidP="00D93C5A">
            <w:pPr>
              <w:pStyle w:val="ListParagraph"/>
              <w:numPr>
                <w:ilvl w:val="0"/>
                <w:numId w:val="2"/>
              </w:numPr>
              <w:spacing w:line="360" w:lineRule="auto"/>
              <w:jc w:val="both"/>
              <w:rPr>
                <w:rFonts w:ascii="Times New Roman" w:hAnsi="Times New Roman" w:cs="Times New Roman"/>
                <w:i/>
                <w:iCs/>
              </w:rPr>
            </w:pPr>
            <w:r w:rsidRPr="00EE5A46">
              <w:rPr>
                <w:rFonts w:ascii="Times New Roman" w:hAnsi="Times New Roman" w:cs="Times New Roman"/>
                <w:i/>
                <w:iCs/>
              </w:rPr>
              <w:t xml:space="preserve">termination for unreasonable refusals to be redeployed; </w:t>
            </w:r>
          </w:p>
          <w:p w14:paraId="77FE89ED" w14:textId="77777777" w:rsidR="00D93C5A" w:rsidRPr="00EE5A46" w:rsidRDefault="00D93C5A" w:rsidP="00D93C5A">
            <w:pPr>
              <w:pStyle w:val="ListParagraph"/>
              <w:numPr>
                <w:ilvl w:val="0"/>
                <w:numId w:val="2"/>
              </w:numPr>
              <w:spacing w:line="360" w:lineRule="auto"/>
              <w:jc w:val="both"/>
              <w:rPr>
                <w:rFonts w:ascii="Times New Roman" w:hAnsi="Times New Roman" w:cs="Times New Roman"/>
                <w:i/>
                <w:iCs/>
              </w:rPr>
            </w:pPr>
            <w:r w:rsidRPr="00EE5A46">
              <w:rPr>
                <w:rFonts w:ascii="Times New Roman" w:hAnsi="Times New Roman" w:cs="Times New Roman"/>
                <w:i/>
                <w:iCs/>
              </w:rPr>
              <w:t>termination lawfully effected for operational requirements unrelated to the Transaction; and</w:t>
            </w:r>
          </w:p>
          <w:p w14:paraId="0D523D73" w14:textId="45B212C8" w:rsidR="00D93C5A" w:rsidRPr="00EE5A46" w:rsidRDefault="00D93C5A" w:rsidP="004B54B1">
            <w:pPr>
              <w:pStyle w:val="ListParagraph"/>
              <w:numPr>
                <w:ilvl w:val="0"/>
                <w:numId w:val="2"/>
              </w:numPr>
              <w:spacing w:line="360" w:lineRule="auto"/>
              <w:jc w:val="both"/>
              <w:rPr>
                <w:rFonts w:ascii="Times New Roman" w:hAnsi="Times New Roman" w:cs="Times New Roman"/>
                <w:i/>
                <w:iCs/>
              </w:rPr>
            </w:pPr>
            <w:r w:rsidRPr="00EE5A46">
              <w:rPr>
                <w:rFonts w:ascii="Times New Roman" w:hAnsi="Times New Roman" w:cs="Times New Roman"/>
                <w:i/>
                <w:iCs/>
              </w:rPr>
              <w:t>terminations in the ordinary course of business, including but not limited to, dismissals as a result of misconduct or poor performance.</w:t>
            </w:r>
          </w:p>
        </w:tc>
      </w:tr>
      <w:tr w:rsidR="00D536E5" w:rsidRPr="00EE5A46" w14:paraId="3C699C1F" w14:textId="77777777" w:rsidTr="00EE66AB">
        <w:tc>
          <w:tcPr>
            <w:tcW w:w="9016" w:type="dxa"/>
            <w:gridSpan w:val="4"/>
          </w:tcPr>
          <w:p w14:paraId="2B677E6B" w14:textId="77777777" w:rsidR="00D536E5" w:rsidRPr="00EE5A46" w:rsidRDefault="00D536E5" w:rsidP="004B54B1">
            <w:pPr>
              <w:spacing w:line="360" w:lineRule="auto"/>
              <w:jc w:val="both"/>
              <w:rPr>
                <w:rFonts w:ascii="Times New Roman" w:hAnsi="Times New Roman" w:cs="Times New Roman"/>
                <w:b/>
                <w:bCs/>
              </w:rPr>
            </w:pPr>
          </w:p>
        </w:tc>
      </w:tr>
      <w:tr w:rsidR="00613D0B" w:rsidRPr="00EE5A46" w14:paraId="2142454D" w14:textId="77777777" w:rsidTr="00613D0B">
        <w:tc>
          <w:tcPr>
            <w:tcW w:w="3114" w:type="dxa"/>
            <w:gridSpan w:val="3"/>
            <w:shd w:val="clear" w:color="auto" w:fill="B3E5A1" w:themeFill="accent6" w:themeFillTint="66"/>
          </w:tcPr>
          <w:p w14:paraId="450F37BD" w14:textId="718BA6E5" w:rsidR="00613D0B" w:rsidRPr="00EE5A46" w:rsidRDefault="00613D0B" w:rsidP="00613D0B">
            <w:pPr>
              <w:spacing w:line="360" w:lineRule="auto"/>
              <w:jc w:val="both"/>
              <w:rPr>
                <w:rFonts w:ascii="Times New Roman" w:hAnsi="Times New Roman" w:cs="Times New Roman"/>
                <w:b/>
                <w:bCs/>
              </w:rPr>
            </w:pPr>
            <w:r w:rsidRPr="00EE5A46">
              <w:rPr>
                <w:rFonts w:ascii="Times New Roman" w:hAnsi="Times New Roman" w:cs="Times New Roman"/>
                <w:b/>
                <w:bCs/>
              </w:rPr>
              <w:t>Reference Number</w:t>
            </w:r>
          </w:p>
        </w:tc>
        <w:tc>
          <w:tcPr>
            <w:tcW w:w="5902" w:type="dxa"/>
            <w:shd w:val="clear" w:color="auto" w:fill="B3E5A1" w:themeFill="accent6" w:themeFillTint="66"/>
          </w:tcPr>
          <w:p w14:paraId="5E453D01" w14:textId="58D93115" w:rsidR="00613D0B" w:rsidRPr="00EE5A46" w:rsidRDefault="00613D0B" w:rsidP="00613D0B">
            <w:pPr>
              <w:spacing w:line="360" w:lineRule="auto"/>
              <w:jc w:val="both"/>
              <w:rPr>
                <w:rFonts w:ascii="Times New Roman" w:hAnsi="Times New Roman" w:cs="Times New Roman"/>
                <w:b/>
                <w:bCs/>
              </w:rPr>
            </w:pPr>
            <w:r w:rsidRPr="00EE5A46">
              <w:rPr>
                <w:rFonts w:ascii="Times New Roman" w:eastAsia="Calibri" w:hAnsi="Times New Roman" w:cs="Times New Roman"/>
                <w:bCs/>
                <w:kern w:val="0"/>
                <w14:ligatures w14:val="none"/>
              </w:rPr>
              <w:t>C</w:t>
            </w:r>
            <w:r w:rsidRPr="00EE5A46">
              <w:rPr>
                <w:rFonts w:ascii="Times New Roman" w:eastAsia="Calibri" w:hAnsi="Times New Roman" w:cs="Times New Roman"/>
                <w:kern w:val="0"/>
                <w14:ligatures w14:val="none"/>
              </w:rPr>
              <w:t>TC/Tech/Mergers/2025/</w:t>
            </w:r>
            <w:r w:rsidR="00732CCB" w:rsidRPr="00EE5A46">
              <w:rPr>
                <w:rFonts w:ascii="Times New Roman" w:eastAsia="Calibri" w:hAnsi="Times New Roman" w:cs="Times New Roman"/>
                <w:kern w:val="0"/>
                <w14:ligatures w14:val="none"/>
              </w:rPr>
              <w:t>12</w:t>
            </w:r>
          </w:p>
        </w:tc>
      </w:tr>
      <w:tr w:rsidR="00EF23A1" w:rsidRPr="00EE5A46" w14:paraId="475EBF77" w14:textId="77777777" w:rsidTr="00EF23A1">
        <w:tc>
          <w:tcPr>
            <w:tcW w:w="3114" w:type="dxa"/>
            <w:gridSpan w:val="3"/>
            <w:shd w:val="clear" w:color="auto" w:fill="FFFFFF" w:themeFill="background1"/>
          </w:tcPr>
          <w:p w14:paraId="170C82CE" w14:textId="3BA7B5CE" w:rsidR="00EF23A1" w:rsidRPr="00EE5A46" w:rsidRDefault="00EF23A1" w:rsidP="00613D0B">
            <w:pPr>
              <w:spacing w:line="360" w:lineRule="auto"/>
              <w:jc w:val="both"/>
              <w:rPr>
                <w:rFonts w:ascii="Times New Roman" w:hAnsi="Times New Roman" w:cs="Times New Roman"/>
                <w:b/>
                <w:bCs/>
              </w:rPr>
            </w:pPr>
            <w:r w:rsidRPr="00EE5A46">
              <w:rPr>
                <w:rFonts w:ascii="Times New Roman" w:hAnsi="Times New Roman" w:cs="Times New Roman"/>
                <w:b/>
                <w:bCs/>
              </w:rPr>
              <w:t>Merger</w:t>
            </w:r>
          </w:p>
        </w:tc>
        <w:tc>
          <w:tcPr>
            <w:tcW w:w="5902" w:type="dxa"/>
            <w:shd w:val="clear" w:color="auto" w:fill="FFFFFF" w:themeFill="background1"/>
          </w:tcPr>
          <w:p w14:paraId="5602E02B" w14:textId="4F8DC228" w:rsidR="00EF23A1" w:rsidRPr="00EE5A46" w:rsidRDefault="00BC26C4" w:rsidP="00BC26C4">
            <w:pPr>
              <w:spacing w:line="360" w:lineRule="auto"/>
              <w:jc w:val="both"/>
              <w:rPr>
                <w:rFonts w:ascii="Times New Roman" w:eastAsia="Calibri" w:hAnsi="Times New Roman" w:cs="Times New Roman"/>
                <w:bCs/>
                <w:kern w:val="0"/>
                <w14:ligatures w14:val="none"/>
              </w:rPr>
            </w:pPr>
            <w:r w:rsidRPr="00EE5A46">
              <w:rPr>
                <w:rFonts w:ascii="Times New Roman" w:hAnsi="Times New Roman" w:cs="Times New Roman"/>
                <w:color w:val="000000"/>
              </w:rPr>
              <w:t xml:space="preserve">Proposed acquisition of 100% shareholding in Kencor Management Services (Pvt) Ltd by Global Agricultural Limited </w:t>
            </w:r>
          </w:p>
        </w:tc>
      </w:tr>
      <w:tr w:rsidR="00BC26C4" w:rsidRPr="00EE5A46" w14:paraId="168E3B63" w14:textId="77777777" w:rsidTr="00EF23A1">
        <w:tc>
          <w:tcPr>
            <w:tcW w:w="3114" w:type="dxa"/>
            <w:gridSpan w:val="3"/>
            <w:shd w:val="clear" w:color="auto" w:fill="FFFFFF" w:themeFill="background1"/>
          </w:tcPr>
          <w:p w14:paraId="698127B0" w14:textId="08D3D383" w:rsidR="00BC26C4" w:rsidRPr="00EE5A46" w:rsidRDefault="00BC26C4" w:rsidP="00613D0B">
            <w:pPr>
              <w:spacing w:line="360" w:lineRule="auto"/>
              <w:jc w:val="both"/>
              <w:rPr>
                <w:rFonts w:ascii="Times New Roman" w:hAnsi="Times New Roman" w:cs="Times New Roman"/>
                <w:b/>
                <w:bCs/>
              </w:rPr>
            </w:pPr>
            <w:r w:rsidRPr="00EE5A46">
              <w:rPr>
                <w:rFonts w:ascii="Times New Roman" w:hAnsi="Times New Roman" w:cs="Times New Roman"/>
                <w:b/>
                <w:bCs/>
              </w:rPr>
              <w:t>Full Notification Date</w:t>
            </w:r>
          </w:p>
        </w:tc>
        <w:tc>
          <w:tcPr>
            <w:tcW w:w="5902" w:type="dxa"/>
            <w:shd w:val="clear" w:color="auto" w:fill="FFFFFF" w:themeFill="background1"/>
          </w:tcPr>
          <w:p w14:paraId="1ADC7557" w14:textId="0B9C7050" w:rsidR="00BC26C4" w:rsidRPr="00EE5A46" w:rsidRDefault="005F39DD" w:rsidP="00BC26C4">
            <w:pPr>
              <w:spacing w:line="360" w:lineRule="auto"/>
              <w:jc w:val="both"/>
              <w:rPr>
                <w:rFonts w:ascii="Times New Roman" w:hAnsi="Times New Roman" w:cs="Times New Roman"/>
                <w:color w:val="000000"/>
              </w:rPr>
            </w:pPr>
            <w:r w:rsidRPr="00EE5A46">
              <w:rPr>
                <w:rFonts w:ascii="Times New Roman" w:hAnsi="Times New Roman" w:cs="Times New Roman"/>
                <w:color w:val="000000"/>
              </w:rPr>
              <w:t>15 April 2025</w:t>
            </w:r>
          </w:p>
        </w:tc>
      </w:tr>
      <w:tr w:rsidR="005F39DD" w:rsidRPr="00EE5A46" w14:paraId="395874C1" w14:textId="77777777" w:rsidTr="00EF23A1">
        <w:tc>
          <w:tcPr>
            <w:tcW w:w="3114" w:type="dxa"/>
            <w:gridSpan w:val="3"/>
            <w:shd w:val="clear" w:color="auto" w:fill="FFFFFF" w:themeFill="background1"/>
          </w:tcPr>
          <w:p w14:paraId="4DCB5CF6" w14:textId="278E65ED" w:rsidR="005F39DD" w:rsidRPr="00EE5A46" w:rsidRDefault="005F39DD" w:rsidP="00613D0B">
            <w:pPr>
              <w:spacing w:line="360" w:lineRule="auto"/>
              <w:jc w:val="both"/>
              <w:rPr>
                <w:rFonts w:ascii="Times New Roman" w:hAnsi="Times New Roman" w:cs="Times New Roman"/>
                <w:b/>
                <w:bCs/>
              </w:rPr>
            </w:pPr>
            <w:r w:rsidRPr="00EE5A46">
              <w:rPr>
                <w:rFonts w:ascii="Times New Roman" w:hAnsi="Times New Roman" w:cs="Times New Roman"/>
                <w:b/>
                <w:bCs/>
              </w:rPr>
              <w:t>Acquirer</w:t>
            </w:r>
          </w:p>
        </w:tc>
        <w:tc>
          <w:tcPr>
            <w:tcW w:w="5902" w:type="dxa"/>
            <w:shd w:val="clear" w:color="auto" w:fill="FFFFFF" w:themeFill="background1"/>
          </w:tcPr>
          <w:p w14:paraId="0DBA2635" w14:textId="41D4C7B2" w:rsidR="005F39DD" w:rsidRPr="00EE5A46" w:rsidRDefault="002A465B" w:rsidP="00BC26C4">
            <w:pPr>
              <w:spacing w:line="360" w:lineRule="auto"/>
              <w:jc w:val="both"/>
              <w:rPr>
                <w:rFonts w:ascii="Times New Roman" w:hAnsi="Times New Roman" w:cs="Times New Roman"/>
                <w:color w:val="000000"/>
              </w:rPr>
            </w:pPr>
            <w:r w:rsidRPr="00EE5A46">
              <w:rPr>
                <w:rFonts w:ascii="Times New Roman" w:hAnsi="Times New Roman" w:cs="Times New Roman"/>
                <w:color w:val="000000"/>
              </w:rPr>
              <w:t>Global Agricultural Limited</w:t>
            </w:r>
          </w:p>
        </w:tc>
      </w:tr>
      <w:tr w:rsidR="002A465B" w:rsidRPr="00EE5A46" w14:paraId="44359147" w14:textId="77777777" w:rsidTr="00EF23A1">
        <w:tc>
          <w:tcPr>
            <w:tcW w:w="3114" w:type="dxa"/>
            <w:gridSpan w:val="3"/>
            <w:shd w:val="clear" w:color="auto" w:fill="FFFFFF" w:themeFill="background1"/>
          </w:tcPr>
          <w:p w14:paraId="627C7460" w14:textId="29CCF9BC" w:rsidR="002A465B" w:rsidRPr="00EE5A46" w:rsidRDefault="002A465B" w:rsidP="00613D0B">
            <w:pPr>
              <w:spacing w:line="360" w:lineRule="auto"/>
              <w:jc w:val="both"/>
              <w:rPr>
                <w:rFonts w:ascii="Times New Roman" w:hAnsi="Times New Roman" w:cs="Times New Roman"/>
                <w:b/>
                <w:bCs/>
              </w:rPr>
            </w:pPr>
            <w:r w:rsidRPr="00EE5A46">
              <w:rPr>
                <w:rFonts w:ascii="Times New Roman" w:hAnsi="Times New Roman" w:cs="Times New Roman"/>
                <w:b/>
                <w:bCs/>
              </w:rPr>
              <w:t>Target</w:t>
            </w:r>
          </w:p>
        </w:tc>
        <w:tc>
          <w:tcPr>
            <w:tcW w:w="5902" w:type="dxa"/>
            <w:shd w:val="clear" w:color="auto" w:fill="FFFFFF" w:themeFill="background1"/>
          </w:tcPr>
          <w:p w14:paraId="5B897AB6" w14:textId="466E6903" w:rsidR="002A465B" w:rsidRPr="00EE5A46" w:rsidRDefault="002A465B" w:rsidP="00BC26C4">
            <w:pPr>
              <w:spacing w:line="360" w:lineRule="auto"/>
              <w:jc w:val="both"/>
              <w:rPr>
                <w:rFonts w:ascii="Times New Roman" w:hAnsi="Times New Roman" w:cs="Times New Roman"/>
                <w:color w:val="000000"/>
              </w:rPr>
            </w:pPr>
            <w:r w:rsidRPr="00EE5A46">
              <w:rPr>
                <w:rFonts w:ascii="Times New Roman" w:hAnsi="Times New Roman" w:cs="Times New Roman"/>
                <w:color w:val="000000"/>
              </w:rPr>
              <w:t>Kencor Management Services</w:t>
            </w:r>
          </w:p>
        </w:tc>
      </w:tr>
      <w:tr w:rsidR="000A28F7" w:rsidRPr="00EE5A46" w14:paraId="4EBCFF90" w14:textId="77777777" w:rsidTr="00014E0D">
        <w:tc>
          <w:tcPr>
            <w:tcW w:w="9016" w:type="dxa"/>
            <w:gridSpan w:val="4"/>
            <w:shd w:val="clear" w:color="auto" w:fill="FFFFFF" w:themeFill="background1"/>
          </w:tcPr>
          <w:p w14:paraId="7BF3615D" w14:textId="77777777" w:rsidR="000A28F7" w:rsidRPr="00EE5A46" w:rsidRDefault="000A28F7" w:rsidP="00BC26C4">
            <w:pPr>
              <w:spacing w:line="360" w:lineRule="auto"/>
              <w:jc w:val="both"/>
              <w:rPr>
                <w:rFonts w:ascii="Times New Roman" w:hAnsi="Times New Roman" w:cs="Times New Roman"/>
                <w:b/>
                <w:bCs/>
                <w:color w:val="000000"/>
              </w:rPr>
            </w:pPr>
            <w:r w:rsidRPr="00EE5A46">
              <w:rPr>
                <w:rFonts w:ascii="Times New Roman" w:hAnsi="Times New Roman" w:cs="Times New Roman"/>
                <w:b/>
                <w:bCs/>
                <w:color w:val="000000"/>
              </w:rPr>
              <w:t xml:space="preserve">Merger Details </w:t>
            </w:r>
          </w:p>
          <w:p w14:paraId="77D8AEF6" w14:textId="5B52CF4C" w:rsidR="000A28F7" w:rsidRPr="00EE5A46" w:rsidRDefault="004052FB" w:rsidP="00BC26C4">
            <w:pPr>
              <w:spacing w:line="360" w:lineRule="auto"/>
              <w:jc w:val="both"/>
              <w:rPr>
                <w:rFonts w:ascii="Times New Roman" w:eastAsia="Times New Roman" w:hAnsi="Times New Roman" w:cs="Times New Roman"/>
              </w:rPr>
            </w:pPr>
            <w:r w:rsidRPr="00EE5A46">
              <w:rPr>
                <w:rFonts w:ascii="Times New Roman" w:eastAsia="Times New Roman" w:hAnsi="Times New Roman" w:cs="Times New Roman"/>
                <w:color w:val="000000" w:themeColor="text1"/>
              </w:rPr>
              <w:t>T</w:t>
            </w:r>
            <w:r w:rsidR="00F65473" w:rsidRPr="00EE5A46">
              <w:rPr>
                <w:rFonts w:ascii="Times New Roman" w:eastAsia="Times New Roman" w:hAnsi="Times New Roman" w:cs="Times New Roman"/>
                <w:color w:val="000000" w:themeColor="text1"/>
              </w:rPr>
              <w:t xml:space="preserve">he transaction entails the proposed indirect acquisition of the entire issued share capital of Kencor Management Services (Pvt) Ltd </w:t>
            </w:r>
            <w:r w:rsidR="00F65473" w:rsidRPr="00EE5A46">
              <w:rPr>
                <w:rFonts w:ascii="Times New Roman" w:eastAsia="Times New Roman" w:hAnsi="Times New Roman" w:cs="Times New Roman"/>
                <w:b/>
                <w:bCs/>
                <w:i/>
                <w:iCs/>
                <w:color w:val="000000" w:themeColor="text1"/>
              </w:rPr>
              <w:t>(“Kencor”)</w:t>
            </w:r>
            <w:r w:rsidR="00F65473" w:rsidRPr="00EE5A46">
              <w:rPr>
                <w:rFonts w:ascii="Times New Roman" w:eastAsia="Times New Roman" w:hAnsi="Times New Roman" w:cs="Times New Roman"/>
                <w:color w:val="000000" w:themeColor="text1"/>
              </w:rPr>
              <w:t xml:space="preserve"> by Global Agricultural Limited </w:t>
            </w:r>
            <w:r w:rsidR="00F65473" w:rsidRPr="00EE5A46">
              <w:rPr>
                <w:rFonts w:ascii="Times New Roman" w:eastAsia="Times New Roman" w:hAnsi="Times New Roman" w:cs="Times New Roman"/>
                <w:b/>
                <w:bCs/>
                <w:i/>
                <w:iCs/>
                <w:color w:val="000000" w:themeColor="text1"/>
              </w:rPr>
              <w:t>(“GAL”)</w:t>
            </w:r>
            <w:r w:rsidR="00F65473" w:rsidRPr="00EE5A46">
              <w:rPr>
                <w:rFonts w:ascii="Times New Roman" w:eastAsia="Times New Roman" w:hAnsi="Times New Roman" w:cs="Times New Roman"/>
                <w:i/>
                <w:iCs/>
                <w:color w:val="000000" w:themeColor="text1"/>
              </w:rPr>
              <w:t xml:space="preserve"> </w:t>
            </w:r>
            <w:r w:rsidR="00F65473" w:rsidRPr="00EE5A46">
              <w:rPr>
                <w:rFonts w:ascii="Times New Roman" w:eastAsia="Times New Roman" w:hAnsi="Times New Roman" w:cs="Times New Roman"/>
                <w:color w:val="000000" w:themeColor="text1"/>
              </w:rPr>
              <w:t xml:space="preserve">through Crop Circle (Pvt) Ltd </w:t>
            </w:r>
            <w:r w:rsidR="00F65473" w:rsidRPr="00EE5A46">
              <w:rPr>
                <w:rFonts w:ascii="Times New Roman" w:eastAsia="Times New Roman" w:hAnsi="Times New Roman" w:cs="Times New Roman"/>
                <w:b/>
                <w:bCs/>
                <w:i/>
                <w:iCs/>
                <w:color w:val="000000" w:themeColor="text1"/>
              </w:rPr>
              <w:t>(“Crop Circle”).</w:t>
            </w:r>
            <w:r w:rsidRPr="00EE5A46">
              <w:rPr>
                <w:rFonts w:ascii="Times New Roman" w:eastAsia="Times New Roman" w:hAnsi="Times New Roman" w:cs="Times New Roman"/>
                <w:color w:val="000000" w:themeColor="text1"/>
              </w:rPr>
              <w:t xml:space="preserve"> </w:t>
            </w:r>
            <w:r w:rsidRPr="00EE5A46">
              <w:rPr>
                <w:rFonts w:ascii="Times New Roman" w:hAnsi="Times New Roman" w:cs="Times New Roman"/>
                <w:color w:val="000000"/>
              </w:rPr>
              <w:t xml:space="preserve">Kencor operates through two brands namely National Tested Seeds, which produces crop and vegetable seeds; and Farm Shop, a retail chain that supplies </w:t>
            </w:r>
            <w:r w:rsidRPr="00EE5A46">
              <w:rPr>
                <w:rFonts w:ascii="Times New Roman" w:eastAsia="Times New Roman" w:hAnsi="Times New Roman" w:cs="Times New Roman"/>
              </w:rPr>
              <w:t>agricultural products. GAL is a newly incorporated investment company with a special focus on investments in the agricultural sector. At the time of this transaction, GAL has no other investment interests in Zimbabwe or abroad. Crop Circle is a special purpose vehicle incorporated for the purposes of this transaction.</w:t>
            </w:r>
          </w:p>
        </w:tc>
      </w:tr>
      <w:tr w:rsidR="00CA359F" w:rsidRPr="00EE5A46" w14:paraId="60E76B66" w14:textId="77777777" w:rsidTr="00CA359F">
        <w:tc>
          <w:tcPr>
            <w:tcW w:w="2972" w:type="dxa"/>
            <w:gridSpan w:val="2"/>
            <w:shd w:val="clear" w:color="auto" w:fill="FFFFFF" w:themeFill="background1"/>
          </w:tcPr>
          <w:p w14:paraId="4CCD2A7A" w14:textId="23D14F34" w:rsidR="00CA359F" w:rsidRPr="00EE5A46" w:rsidRDefault="00CA359F" w:rsidP="00BC26C4">
            <w:pPr>
              <w:spacing w:line="360" w:lineRule="auto"/>
              <w:jc w:val="both"/>
              <w:rPr>
                <w:rFonts w:ascii="Times New Roman" w:hAnsi="Times New Roman" w:cs="Times New Roman"/>
                <w:b/>
                <w:bCs/>
                <w:color w:val="000000"/>
              </w:rPr>
            </w:pPr>
            <w:r w:rsidRPr="00EE5A46">
              <w:rPr>
                <w:rFonts w:ascii="Times New Roman" w:hAnsi="Times New Roman" w:cs="Times New Roman"/>
                <w:b/>
                <w:bCs/>
                <w:color w:val="000000"/>
              </w:rPr>
              <w:lastRenderedPageBreak/>
              <w:t>Relevant Market</w:t>
            </w:r>
          </w:p>
        </w:tc>
        <w:tc>
          <w:tcPr>
            <w:tcW w:w="6044" w:type="dxa"/>
            <w:gridSpan w:val="2"/>
            <w:shd w:val="clear" w:color="auto" w:fill="FFFFFF" w:themeFill="background1"/>
          </w:tcPr>
          <w:p w14:paraId="31A84806" w14:textId="010D1003" w:rsidR="00CA359F" w:rsidRPr="00EE5A46" w:rsidRDefault="00CA359F" w:rsidP="00E62E9C">
            <w:pPr>
              <w:pStyle w:val="ListParagraph"/>
              <w:numPr>
                <w:ilvl w:val="0"/>
                <w:numId w:val="5"/>
              </w:numPr>
              <w:spacing w:line="360" w:lineRule="auto"/>
              <w:jc w:val="both"/>
              <w:rPr>
                <w:rFonts w:ascii="Times New Roman" w:eastAsia="Times New Roman" w:hAnsi="Times New Roman" w:cs="Times New Roman"/>
                <w:i/>
                <w:iCs/>
                <w:color w:val="000000" w:themeColor="text1"/>
              </w:rPr>
            </w:pPr>
            <w:r w:rsidRPr="00EE5A46">
              <w:rPr>
                <w:rFonts w:ascii="Times New Roman" w:eastAsia="Times New Roman" w:hAnsi="Times New Roman" w:cs="Times New Roman"/>
                <w:i/>
                <w:iCs/>
                <w:color w:val="000000" w:themeColor="text1"/>
              </w:rPr>
              <w:t>the production and supply of seed varieties in Zimbabwe;</w:t>
            </w:r>
          </w:p>
          <w:p w14:paraId="1FDFEA45" w14:textId="00487D46" w:rsidR="00CA359F" w:rsidRPr="00EE5A46" w:rsidRDefault="00CA359F" w:rsidP="00CA359F">
            <w:pPr>
              <w:pStyle w:val="ListParagraph"/>
              <w:numPr>
                <w:ilvl w:val="0"/>
                <w:numId w:val="5"/>
              </w:numPr>
              <w:spacing w:line="360" w:lineRule="auto"/>
              <w:jc w:val="both"/>
              <w:rPr>
                <w:rFonts w:ascii="Times New Roman" w:eastAsia="Times New Roman" w:hAnsi="Times New Roman" w:cs="Times New Roman"/>
                <w:i/>
                <w:iCs/>
                <w:color w:val="000000" w:themeColor="text1"/>
              </w:rPr>
            </w:pPr>
            <w:r w:rsidRPr="00EE5A46">
              <w:rPr>
                <w:rFonts w:ascii="Times New Roman" w:eastAsia="Times New Roman" w:hAnsi="Times New Roman" w:cs="Times New Roman"/>
                <w:i/>
                <w:iCs/>
                <w:color w:val="000000" w:themeColor="text1"/>
              </w:rPr>
              <w:t>the supply of agricultural inputs and equipment in Zimbabwe.</w:t>
            </w:r>
          </w:p>
          <w:p w14:paraId="53CC550B" w14:textId="10594C34" w:rsidR="00CA359F" w:rsidRPr="00EE5A46" w:rsidRDefault="00CA359F" w:rsidP="00BC26C4">
            <w:pPr>
              <w:spacing w:line="360" w:lineRule="auto"/>
              <w:jc w:val="both"/>
              <w:rPr>
                <w:rFonts w:ascii="Times New Roman" w:hAnsi="Times New Roman" w:cs="Times New Roman"/>
                <w:b/>
                <w:bCs/>
                <w:color w:val="000000"/>
              </w:rPr>
            </w:pPr>
          </w:p>
        </w:tc>
      </w:tr>
      <w:tr w:rsidR="00230F59" w:rsidRPr="00EE5A46" w14:paraId="060A9803" w14:textId="77777777" w:rsidTr="00CA359F">
        <w:tc>
          <w:tcPr>
            <w:tcW w:w="2972" w:type="dxa"/>
            <w:gridSpan w:val="2"/>
            <w:shd w:val="clear" w:color="auto" w:fill="FFFFFF" w:themeFill="background1"/>
          </w:tcPr>
          <w:p w14:paraId="066D5ED5" w14:textId="449773B0" w:rsidR="00230F59" w:rsidRPr="00EE5A46" w:rsidRDefault="00230F59" w:rsidP="00BC26C4">
            <w:pPr>
              <w:spacing w:line="360" w:lineRule="auto"/>
              <w:jc w:val="both"/>
              <w:rPr>
                <w:rFonts w:ascii="Times New Roman" w:hAnsi="Times New Roman" w:cs="Times New Roman"/>
                <w:b/>
                <w:bCs/>
                <w:color w:val="000000"/>
              </w:rPr>
            </w:pPr>
            <w:r w:rsidRPr="00EE5A46">
              <w:rPr>
                <w:rFonts w:ascii="Times New Roman" w:hAnsi="Times New Roman" w:cs="Times New Roman"/>
                <w:b/>
                <w:bCs/>
                <w:color w:val="000000"/>
              </w:rPr>
              <w:t>Type of Merger</w:t>
            </w:r>
          </w:p>
        </w:tc>
        <w:tc>
          <w:tcPr>
            <w:tcW w:w="6044" w:type="dxa"/>
            <w:gridSpan w:val="2"/>
            <w:shd w:val="clear" w:color="auto" w:fill="FFFFFF" w:themeFill="background1"/>
          </w:tcPr>
          <w:p w14:paraId="2CDBC468" w14:textId="479AF52B" w:rsidR="00230F59" w:rsidRPr="00EE5A46" w:rsidRDefault="00DE61CB" w:rsidP="00230F59">
            <w:pPr>
              <w:pStyle w:val="ListParagraph"/>
              <w:spacing w:line="360" w:lineRule="auto"/>
              <w:ind w:left="1080"/>
              <w:jc w:val="both"/>
              <w:rPr>
                <w:rFonts w:ascii="Times New Roman" w:eastAsia="Times New Roman" w:hAnsi="Times New Roman" w:cs="Times New Roman"/>
                <w:color w:val="000000" w:themeColor="text1"/>
              </w:rPr>
            </w:pPr>
            <w:r w:rsidRPr="00EE5A46">
              <w:rPr>
                <w:rFonts w:ascii="Times New Roman" w:eastAsia="Times New Roman" w:hAnsi="Times New Roman" w:cs="Times New Roman"/>
                <w:color w:val="000000" w:themeColor="text1"/>
              </w:rPr>
              <w:t>Conglomerate</w:t>
            </w:r>
          </w:p>
        </w:tc>
      </w:tr>
      <w:tr w:rsidR="00DE61CB" w:rsidRPr="00EE5A46" w14:paraId="78F4DB0D" w14:textId="77777777" w:rsidTr="00CA359F">
        <w:tc>
          <w:tcPr>
            <w:tcW w:w="2972" w:type="dxa"/>
            <w:gridSpan w:val="2"/>
            <w:shd w:val="clear" w:color="auto" w:fill="FFFFFF" w:themeFill="background1"/>
          </w:tcPr>
          <w:p w14:paraId="272E11D1" w14:textId="55DE488E" w:rsidR="00DE61CB" w:rsidRPr="00EE5A46" w:rsidRDefault="00DE61CB" w:rsidP="00BC26C4">
            <w:pPr>
              <w:spacing w:line="360" w:lineRule="auto"/>
              <w:jc w:val="both"/>
              <w:rPr>
                <w:rFonts w:ascii="Times New Roman" w:hAnsi="Times New Roman" w:cs="Times New Roman"/>
                <w:b/>
                <w:bCs/>
                <w:color w:val="000000"/>
              </w:rPr>
            </w:pPr>
            <w:r w:rsidRPr="00EE5A46">
              <w:rPr>
                <w:rFonts w:ascii="Times New Roman" w:hAnsi="Times New Roman" w:cs="Times New Roman"/>
                <w:b/>
                <w:bCs/>
                <w:color w:val="000000"/>
              </w:rPr>
              <w:t>Commission’s Decision</w:t>
            </w:r>
          </w:p>
        </w:tc>
        <w:tc>
          <w:tcPr>
            <w:tcW w:w="6044" w:type="dxa"/>
            <w:gridSpan w:val="2"/>
            <w:shd w:val="clear" w:color="auto" w:fill="FFFFFF" w:themeFill="background1"/>
          </w:tcPr>
          <w:p w14:paraId="2D6E3BB2" w14:textId="44C8A607" w:rsidR="00DE61CB" w:rsidRPr="00EE5A46" w:rsidRDefault="00DE61CB" w:rsidP="00230F59">
            <w:pPr>
              <w:pStyle w:val="ListParagraph"/>
              <w:spacing w:line="360" w:lineRule="auto"/>
              <w:ind w:left="1080"/>
              <w:jc w:val="both"/>
              <w:rPr>
                <w:rFonts w:ascii="Times New Roman" w:eastAsia="Times New Roman" w:hAnsi="Times New Roman" w:cs="Times New Roman"/>
                <w:color w:val="000000" w:themeColor="text1"/>
              </w:rPr>
            </w:pPr>
            <w:r w:rsidRPr="00EE5A46">
              <w:rPr>
                <w:rFonts w:ascii="Times New Roman" w:eastAsia="Times New Roman" w:hAnsi="Times New Roman" w:cs="Times New Roman"/>
                <w:color w:val="000000" w:themeColor="text1"/>
              </w:rPr>
              <w:t>The merger was approved without conditions</w:t>
            </w:r>
          </w:p>
        </w:tc>
      </w:tr>
      <w:tr w:rsidR="00D25B9E" w:rsidRPr="00EE5A46" w14:paraId="031E8C3B" w14:textId="77777777" w:rsidTr="000A7D79">
        <w:tc>
          <w:tcPr>
            <w:tcW w:w="9016" w:type="dxa"/>
            <w:gridSpan w:val="4"/>
            <w:shd w:val="clear" w:color="auto" w:fill="FFFFFF" w:themeFill="background1"/>
          </w:tcPr>
          <w:p w14:paraId="60DC6BC0" w14:textId="77777777" w:rsidR="00D25B9E" w:rsidRPr="00EE5A46" w:rsidRDefault="00D25B9E" w:rsidP="00230F59">
            <w:pPr>
              <w:pStyle w:val="ListParagraph"/>
              <w:spacing w:line="360" w:lineRule="auto"/>
              <w:ind w:left="1080"/>
              <w:jc w:val="both"/>
              <w:rPr>
                <w:rFonts w:ascii="Times New Roman" w:eastAsia="Times New Roman" w:hAnsi="Times New Roman" w:cs="Times New Roman"/>
                <w:color w:val="000000" w:themeColor="text1"/>
              </w:rPr>
            </w:pPr>
          </w:p>
        </w:tc>
      </w:tr>
      <w:tr w:rsidR="00892BCA" w:rsidRPr="00EE5A46" w14:paraId="37C7A23C" w14:textId="77777777" w:rsidTr="00892BCA">
        <w:tc>
          <w:tcPr>
            <w:tcW w:w="2972" w:type="dxa"/>
            <w:gridSpan w:val="2"/>
            <w:shd w:val="clear" w:color="auto" w:fill="84E290" w:themeFill="accent3" w:themeFillTint="66"/>
          </w:tcPr>
          <w:p w14:paraId="1EDFC72B" w14:textId="420E6BC3" w:rsidR="00892BCA" w:rsidRPr="00EE5A46" w:rsidRDefault="00892BCA" w:rsidP="00892BCA">
            <w:pPr>
              <w:spacing w:line="360" w:lineRule="auto"/>
              <w:jc w:val="both"/>
              <w:rPr>
                <w:rFonts w:ascii="Times New Roman" w:hAnsi="Times New Roman" w:cs="Times New Roman"/>
                <w:b/>
                <w:bCs/>
                <w:color w:val="000000"/>
              </w:rPr>
            </w:pPr>
            <w:r w:rsidRPr="00EE5A46">
              <w:rPr>
                <w:rFonts w:ascii="Times New Roman" w:hAnsi="Times New Roman" w:cs="Times New Roman"/>
                <w:b/>
                <w:bCs/>
              </w:rPr>
              <w:t>Reference Number</w:t>
            </w:r>
          </w:p>
        </w:tc>
        <w:tc>
          <w:tcPr>
            <w:tcW w:w="6044" w:type="dxa"/>
            <w:gridSpan w:val="2"/>
            <w:shd w:val="clear" w:color="auto" w:fill="84E290" w:themeFill="accent3" w:themeFillTint="66"/>
          </w:tcPr>
          <w:p w14:paraId="09E881C9" w14:textId="35AD3B06" w:rsidR="00892BCA" w:rsidRPr="00EE5A46" w:rsidRDefault="00892BCA" w:rsidP="00892BCA">
            <w:pPr>
              <w:pStyle w:val="ListParagraph"/>
              <w:spacing w:line="360" w:lineRule="auto"/>
              <w:ind w:left="1080"/>
              <w:jc w:val="both"/>
              <w:rPr>
                <w:rFonts w:ascii="Times New Roman" w:eastAsia="Times New Roman" w:hAnsi="Times New Roman" w:cs="Times New Roman"/>
                <w:color w:val="000000" w:themeColor="text1"/>
              </w:rPr>
            </w:pPr>
            <w:r w:rsidRPr="00EE5A46">
              <w:rPr>
                <w:rFonts w:ascii="Times New Roman" w:eastAsia="Calibri" w:hAnsi="Times New Roman" w:cs="Times New Roman"/>
                <w:bCs/>
                <w:kern w:val="0"/>
                <w14:ligatures w14:val="none"/>
              </w:rPr>
              <w:t>C</w:t>
            </w:r>
            <w:r w:rsidRPr="00EE5A46">
              <w:rPr>
                <w:rFonts w:ascii="Times New Roman" w:eastAsia="Calibri" w:hAnsi="Times New Roman" w:cs="Times New Roman"/>
                <w:kern w:val="0"/>
                <w14:ligatures w14:val="none"/>
              </w:rPr>
              <w:t>TC/Tech/Mergers/2025/</w:t>
            </w:r>
            <w:r w:rsidR="00C93AC6" w:rsidRPr="00EE5A46">
              <w:rPr>
                <w:rFonts w:ascii="Times New Roman" w:eastAsia="Calibri" w:hAnsi="Times New Roman" w:cs="Times New Roman"/>
                <w:kern w:val="0"/>
                <w14:ligatures w14:val="none"/>
              </w:rPr>
              <w:t>13</w:t>
            </w:r>
          </w:p>
        </w:tc>
      </w:tr>
      <w:tr w:rsidR="00C93AC6" w:rsidRPr="00EE5A46" w14:paraId="569251D5" w14:textId="77777777" w:rsidTr="00C93AC6">
        <w:tc>
          <w:tcPr>
            <w:tcW w:w="2972" w:type="dxa"/>
            <w:gridSpan w:val="2"/>
            <w:shd w:val="clear" w:color="auto" w:fill="auto"/>
          </w:tcPr>
          <w:p w14:paraId="3CC1027D" w14:textId="26C2309C" w:rsidR="00C93AC6" w:rsidRPr="00EE5A46" w:rsidRDefault="00C93AC6" w:rsidP="00892BCA">
            <w:pPr>
              <w:spacing w:line="360" w:lineRule="auto"/>
              <w:jc w:val="both"/>
              <w:rPr>
                <w:rFonts w:ascii="Times New Roman" w:hAnsi="Times New Roman" w:cs="Times New Roman"/>
                <w:b/>
                <w:bCs/>
              </w:rPr>
            </w:pPr>
            <w:r w:rsidRPr="00EE5A46">
              <w:rPr>
                <w:rFonts w:ascii="Times New Roman" w:hAnsi="Times New Roman" w:cs="Times New Roman"/>
                <w:b/>
                <w:bCs/>
              </w:rPr>
              <w:t>Merger</w:t>
            </w:r>
          </w:p>
        </w:tc>
        <w:tc>
          <w:tcPr>
            <w:tcW w:w="6044" w:type="dxa"/>
            <w:gridSpan w:val="2"/>
            <w:shd w:val="clear" w:color="auto" w:fill="auto"/>
          </w:tcPr>
          <w:p w14:paraId="53895518" w14:textId="3EC1784D" w:rsidR="00C93AC6" w:rsidRPr="00EE5A46" w:rsidRDefault="00AC6DF1" w:rsidP="00AC6DF1">
            <w:pPr>
              <w:spacing w:line="360" w:lineRule="auto"/>
              <w:jc w:val="both"/>
              <w:rPr>
                <w:rFonts w:ascii="Times New Roman" w:eastAsia="Calibri" w:hAnsi="Times New Roman" w:cs="Times New Roman"/>
                <w:bCs/>
                <w:kern w:val="0"/>
                <w14:ligatures w14:val="none"/>
              </w:rPr>
            </w:pPr>
            <w:r w:rsidRPr="00EE5A46">
              <w:rPr>
                <w:rFonts w:ascii="Times New Roman" w:hAnsi="Times New Roman" w:cs="Times New Roman"/>
                <w:lang w:val="en-ZW"/>
              </w:rPr>
              <w:t>Proposed acquisition of the entire issued share capital in Giant Mine by Magaya Mining (Pvt) Ltd</w:t>
            </w:r>
          </w:p>
        </w:tc>
      </w:tr>
      <w:tr w:rsidR="00AC6DF1" w:rsidRPr="00EE5A46" w14:paraId="73B8A2F8" w14:textId="77777777" w:rsidTr="00C93AC6">
        <w:tc>
          <w:tcPr>
            <w:tcW w:w="2972" w:type="dxa"/>
            <w:gridSpan w:val="2"/>
            <w:shd w:val="clear" w:color="auto" w:fill="auto"/>
          </w:tcPr>
          <w:p w14:paraId="69D34545" w14:textId="61F79E9B" w:rsidR="00AC6DF1" w:rsidRPr="00EE5A46" w:rsidRDefault="00AC6DF1" w:rsidP="00892BCA">
            <w:pPr>
              <w:spacing w:line="360" w:lineRule="auto"/>
              <w:jc w:val="both"/>
              <w:rPr>
                <w:rFonts w:ascii="Times New Roman" w:hAnsi="Times New Roman" w:cs="Times New Roman"/>
                <w:b/>
                <w:bCs/>
              </w:rPr>
            </w:pPr>
            <w:r w:rsidRPr="00EE5A46">
              <w:rPr>
                <w:rFonts w:ascii="Times New Roman" w:hAnsi="Times New Roman" w:cs="Times New Roman"/>
                <w:b/>
                <w:bCs/>
              </w:rPr>
              <w:t>Full Notification Date</w:t>
            </w:r>
          </w:p>
        </w:tc>
        <w:tc>
          <w:tcPr>
            <w:tcW w:w="6044" w:type="dxa"/>
            <w:gridSpan w:val="2"/>
            <w:shd w:val="clear" w:color="auto" w:fill="auto"/>
          </w:tcPr>
          <w:p w14:paraId="69155DB4" w14:textId="73698AC6" w:rsidR="00AC6DF1" w:rsidRPr="00EE5A46" w:rsidRDefault="00AC6DF1" w:rsidP="00AC6DF1">
            <w:pPr>
              <w:spacing w:line="360" w:lineRule="auto"/>
              <w:jc w:val="both"/>
              <w:rPr>
                <w:rFonts w:ascii="Times New Roman" w:hAnsi="Times New Roman" w:cs="Times New Roman"/>
                <w:lang w:val="en-ZW"/>
              </w:rPr>
            </w:pPr>
            <w:r w:rsidRPr="00EE5A46">
              <w:rPr>
                <w:rFonts w:ascii="Times New Roman" w:hAnsi="Times New Roman" w:cs="Times New Roman"/>
                <w:lang w:val="en-ZW"/>
              </w:rPr>
              <w:t>10 April 2025</w:t>
            </w:r>
          </w:p>
        </w:tc>
      </w:tr>
      <w:tr w:rsidR="00AC6DF1" w:rsidRPr="00EE5A46" w14:paraId="26DDBB21" w14:textId="77777777" w:rsidTr="00C93AC6">
        <w:tc>
          <w:tcPr>
            <w:tcW w:w="2972" w:type="dxa"/>
            <w:gridSpan w:val="2"/>
            <w:shd w:val="clear" w:color="auto" w:fill="auto"/>
          </w:tcPr>
          <w:p w14:paraId="696AD242" w14:textId="76CF6CB3" w:rsidR="00AC6DF1" w:rsidRPr="00EE5A46" w:rsidRDefault="00AC6DF1" w:rsidP="00892BCA">
            <w:pPr>
              <w:spacing w:line="360" w:lineRule="auto"/>
              <w:jc w:val="both"/>
              <w:rPr>
                <w:rFonts w:ascii="Times New Roman" w:hAnsi="Times New Roman" w:cs="Times New Roman"/>
                <w:b/>
                <w:bCs/>
              </w:rPr>
            </w:pPr>
            <w:r w:rsidRPr="00EE5A46">
              <w:rPr>
                <w:rFonts w:ascii="Times New Roman" w:hAnsi="Times New Roman" w:cs="Times New Roman"/>
                <w:b/>
                <w:bCs/>
              </w:rPr>
              <w:t>Acquirer</w:t>
            </w:r>
          </w:p>
        </w:tc>
        <w:tc>
          <w:tcPr>
            <w:tcW w:w="6044" w:type="dxa"/>
            <w:gridSpan w:val="2"/>
            <w:shd w:val="clear" w:color="auto" w:fill="auto"/>
          </w:tcPr>
          <w:p w14:paraId="421125A3" w14:textId="49F679A9" w:rsidR="00AC6DF1" w:rsidRPr="00EE5A46" w:rsidRDefault="00AC6DF1" w:rsidP="00AC6DF1">
            <w:pPr>
              <w:spacing w:line="360" w:lineRule="auto"/>
              <w:jc w:val="both"/>
              <w:rPr>
                <w:rFonts w:ascii="Times New Roman" w:hAnsi="Times New Roman" w:cs="Times New Roman"/>
                <w:lang w:val="en-ZW"/>
              </w:rPr>
            </w:pPr>
            <w:r w:rsidRPr="00EE5A46">
              <w:rPr>
                <w:rFonts w:ascii="Times New Roman" w:hAnsi="Times New Roman" w:cs="Times New Roman"/>
                <w:lang w:val="en-ZW"/>
              </w:rPr>
              <w:t>Magaya Mining (Pvt) Ltd</w:t>
            </w:r>
          </w:p>
        </w:tc>
      </w:tr>
      <w:tr w:rsidR="00AC6DF1" w:rsidRPr="00EE5A46" w14:paraId="574C33D8" w14:textId="77777777" w:rsidTr="00C93AC6">
        <w:tc>
          <w:tcPr>
            <w:tcW w:w="2972" w:type="dxa"/>
            <w:gridSpan w:val="2"/>
            <w:shd w:val="clear" w:color="auto" w:fill="auto"/>
          </w:tcPr>
          <w:p w14:paraId="72F0D787" w14:textId="33B752D8" w:rsidR="00AC6DF1" w:rsidRPr="00EE5A46" w:rsidRDefault="00AC6DF1" w:rsidP="00892BCA">
            <w:pPr>
              <w:spacing w:line="360" w:lineRule="auto"/>
              <w:jc w:val="both"/>
              <w:rPr>
                <w:rFonts w:ascii="Times New Roman" w:hAnsi="Times New Roman" w:cs="Times New Roman"/>
                <w:b/>
                <w:bCs/>
              </w:rPr>
            </w:pPr>
            <w:r w:rsidRPr="00EE5A46">
              <w:rPr>
                <w:rFonts w:ascii="Times New Roman" w:hAnsi="Times New Roman" w:cs="Times New Roman"/>
                <w:b/>
                <w:bCs/>
              </w:rPr>
              <w:t>Target</w:t>
            </w:r>
          </w:p>
        </w:tc>
        <w:tc>
          <w:tcPr>
            <w:tcW w:w="6044" w:type="dxa"/>
            <w:gridSpan w:val="2"/>
            <w:shd w:val="clear" w:color="auto" w:fill="auto"/>
          </w:tcPr>
          <w:p w14:paraId="1C893893" w14:textId="07A7854C" w:rsidR="00AC6DF1" w:rsidRPr="00EE5A46" w:rsidRDefault="00CC1312" w:rsidP="00AC6DF1">
            <w:pPr>
              <w:spacing w:line="360" w:lineRule="auto"/>
              <w:jc w:val="both"/>
              <w:rPr>
                <w:rFonts w:ascii="Times New Roman" w:hAnsi="Times New Roman" w:cs="Times New Roman"/>
                <w:lang w:val="en-ZW"/>
              </w:rPr>
            </w:pPr>
            <w:r w:rsidRPr="00EE5A46">
              <w:rPr>
                <w:rFonts w:ascii="Times New Roman" w:hAnsi="Times New Roman" w:cs="Times New Roman"/>
                <w:lang w:val="en-ZW"/>
              </w:rPr>
              <w:t>Giant Mine</w:t>
            </w:r>
          </w:p>
        </w:tc>
      </w:tr>
      <w:tr w:rsidR="00CC1312" w:rsidRPr="00EE5A46" w14:paraId="31C6B5F8" w14:textId="77777777" w:rsidTr="00DC6C66">
        <w:tc>
          <w:tcPr>
            <w:tcW w:w="9016" w:type="dxa"/>
            <w:gridSpan w:val="4"/>
            <w:shd w:val="clear" w:color="auto" w:fill="auto"/>
          </w:tcPr>
          <w:p w14:paraId="287302EE" w14:textId="77777777" w:rsidR="00CC1312" w:rsidRPr="00EE5A46" w:rsidRDefault="00CC1312" w:rsidP="00AC6DF1">
            <w:pPr>
              <w:spacing w:line="360" w:lineRule="auto"/>
              <w:jc w:val="both"/>
              <w:rPr>
                <w:rFonts w:ascii="Times New Roman" w:hAnsi="Times New Roman" w:cs="Times New Roman"/>
                <w:b/>
                <w:bCs/>
              </w:rPr>
            </w:pPr>
            <w:r w:rsidRPr="00EE5A46">
              <w:rPr>
                <w:rFonts w:ascii="Times New Roman" w:hAnsi="Times New Roman" w:cs="Times New Roman"/>
                <w:b/>
                <w:bCs/>
              </w:rPr>
              <w:t>Merger Details</w:t>
            </w:r>
          </w:p>
          <w:p w14:paraId="61E538F3" w14:textId="77002861" w:rsidR="00CC1312" w:rsidRPr="00EE5A46" w:rsidRDefault="000C7706" w:rsidP="00AC6DF1">
            <w:pPr>
              <w:spacing w:line="360" w:lineRule="auto"/>
              <w:jc w:val="both"/>
              <w:rPr>
                <w:rFonts w:ascii="Times New Roman" w:hAnsi="Times New Roman" w:cs="Times New Roman"/>
              </w:rPr>
            </w:pPr>
            <w:r w:rsidRPr="00EE5A46">
              <w:rPr>
                <w:rFonts w:ascii="Times New Roman" w:hAnsi="Times New Roman" w:cs="Times New Roman"/>
                <w:lang w:val="en-ZW"/>
              </w:rPr>
              <w:t xml:space="preserve">The transaction entails the proposed acquisition of the entire issued share capital in Giant Mine by Magaya Mining (Pvt) Ltd </w:t>
            </w:r>
            <w:r w:rsidRPr="00EE5A46">
              <w:rPr>
                <w:rFonts w:ascii="Times New Roman" w:hAnsi="Times New Roman" w:cs="Times New Roman"/>
                <w:b/>
                <w:bCs/>
                <w:i/>
                <w:iCs/>
                <w:lang w:val="en-ZW"/>
              </w:rPr>
              <w:t xml:space="preserve">(“Magaya”). </w:t>
            </w:r>
            <w:r w:rsidRPr="00EE5A46">
              <w:rPr>
                <w:rFonts w:ascii="Times New Roman" w:hAnsi="Times New Roman" w:cs="Times New Roman"/>
                <w:lang w:val="en-ZW"/>
              </w:rPr>
              <w:t xml:space="preserve">Giant Mine is a wholly owned subsidiary of Dallaglio Investments (Pvt) Ltd </w:t>
            </w:r>
            <w:r w:rsidRPr="00EE5A46">
              <w:rPr>
                <w:rFonts w:ascii="Times New Roman" w:hAnsi="Times New Roman" w:cs="Times New Roman"/>
                <w:b/>
                <w:bCs/>
                <w:i/>
                <w:iCs/>
                <w:lang w:val="en-ZW"/>
              </w:rPr>
              <w:t>(“Dallaglio”)</w:t>
            </w:r>
            <w:r w:rsidRPr="00EE5A46">
              <w:rPr>
                <w:rFonts w:ascii="Times New Roman" w:hAnsi="Times New Roman" w:cs="Times New Roman"/>
                <w:lang w:val="en-ZW"/>
              </w:rPr>
              <w:t xml:space="preserve"> which holds a collection of gold claims namely </w:t>
            </w:r>
            <w:r w:rsidRPr="00EE5A46">
              <w:rPr>
                <w:rFonts w:ascii="Times New Roman" w:hAnsi="Times New Roman" w:cs="Times New Roman"/>
              </w:rPr>
              <w:t>Perkinson, Conniere, Mayback, Lescaut and Nivolla,</w:t>
            </w:r>
            <w:r w:rsidRPr="00EE5A46">
              <w:rPr>
                <w:rFonts w:ascii="Times New Roman" w:hAnsi="Times New Roman" w:cs="Times New Roman"/>
                <w:lang w:val="en-ZW"/>
              </w:rPr>
              <w:t xml:space="preserve"> in Chegutu. </w:t>
            </w:r>
            <w:r w:rsidRPr="00EE5A46">
              <w:rPr>
                <w:rFonts w:ascii="Times New Roman" w:hAnsi="Times New Roman" w:cs="Times New Roman"/>
              </w:rPr>
              <w:t xml:space="preserve">Dallaglio is a holding company, incorporated in Zimbabwe owning Pickstone Peerless and Eureka mining operations, both of which are large scale commercial gold mines. </w:t>
            </w:r>
            <w:r w:rsidRPr="00EE5A46">
              <w:rPr>
                <w:rFonts w:ascii="Times New Roman" w:hAnsi="Times New Roman" w:cs="Times New Roman"/>
                <w:lang w:val="en-ZW"/>
              </w:rPr>
              <w:t>Giant Mine has not been fully used by Dallaglio but rather claims are being exploited by artisanal miners</w:t>
            </w:r>
            <w:r w:rsidRPr="00EE5A46">
              <w:rPr>
                <w:rFonts w:ascii="Times New Roman" w:hAnsi="Times New Roman" w:cs="Times New Roman"/>
                <w:b/>
                <w:bCs/>
                <w:lang w:val="en-ZW"/>
              </w:rPr>
              <w:t xml:space="preserve">. </w:t>
            </w:r>
            <w:r w:rsidRPr="00EE5A46">
              <w:rPr>
                <w:rFonts w:ascii="Times New Roman" w:hAnsi="Times New Roman" w:cs="Times New Roman"/>
                <w:lang w:val="en-ZW"/>
              </w:rPr>
              <w:t xml:space="preserve">Magaya - the acquirer, is a Zimbabwean registered company which operates as a small-scale gold mine based in Chegutu. </w:t>
            </w:r>
          </w:p>
        </w:tc>
      </w:tr>
      <w:tr w:rsidR="00D01185" w:rsidRPr="00EE5A46" w14:paraId="354A2517" w14:textId="77777777" w:rsidTr="00D01185">
        <w:tc>
          <w:tcPr>
            <w:tcW w:w="2689" w:type="dxa"/>
            <w:shd w:val="clear" w:color="auto" w:fill="auto"/>
          </w:tcPr>
          <w:p w14:paraId="4E9508DC" w14:textId="438DF3DF" w:rsidR="00D01185" w:rsidRPr="00EE5A46" w:rsidRDefault="00D01185" w:rsidP="00AC6DF1">
            <w:pPr>
              <w:spacing w:line="360" w:lineRule="auto"/>
              <w:jc w:val="both"/>
              <w:rPr>
                <w:rFonts w:ascii="Times New Roman" w:hAnsi="Times New Roman" w:cs="Times New Roman"/>
                <w:b/>
                <w:bCs/>
              </w:rPr>
            </w:pPr>
            <w:r w:rsidRPr="00EE5A46">
              <w:rPr>
                <w:rFonts w:ascii="Times New Roman" w:hAnsi="Times New Roman" w:cs="Times New Roman"/>
                <w:b/>
                <w:bCs/>
              </w:rPr>
              <w:t>Relevant Market</w:t>
            </w:r>
          </w:p>
        </w:tc>
        <w:tc>
          <w:tcPr>
            <w:tcW w:w="6327" w:type="dxa"/>
            <w:gridSpan w:val="3"/>
            <w:shd w:val="clear" w:color="auto" w:fill="auto"/>
          </w:tcPr>
          <w:p w14:paraId="6E1EF92D" w14:textId="00FFAC66" w:rsidR="00D01185" w:rsidRPr="00EE5A46" w:rsidRDefault="00F044A6" w:rsidP="00AC6DF1">
            <w:pPr>
              <w:spacing w:line="360" w:lineRule="auto"/>
              <w:jc w:val="both"/>
              <w:rPr>
                <w:rFonts w:ascii="Times New Roman" w:hAnsi="Times New Roman" w:cs="Times New Roman"/>
                <w:b/>
                <w:bCs/>
              </w:rPr>
            </w:pPr>
            <w:r w:rsidRPr="00EE5A46">
              <w:rPr>
                <w:rFonts w:ascii="Times New Roman" w:hAnsi="Times New Roman" w:cs="Times New Roman"/>
                <w:i/>
                <w:iCs/>
                <w:lang w:val="en-ZW"/>
              </w:rPr>
              <w:t xml:space="preserve">      </w:t>
            </w:r>
            <w:r w:rsidR="009E1294" w:rsidRPr="00EE5A46">
              <w:rPr>
                <w:rFonts w:ascii="Times New Roman" w:hAnsi="Times New Roman" w:cs="Times New Roman"/>
                <w:i/>
                <w:iCs/>
                <w:lang w:val="en-ZW"/>
              </w:rPr>
              <w:t>Mining and processing of gold in Zimbabwe</w:t>
            </w:r>
          </w:p>
        </w:tc>
      </w:tr>
      <w:tr w:rsidR="009E1294" w:rsidRPr="00EE5A46" w14:paraId="52307309" w14:textId="77777777" w:rsidTr="00D01185">
        <w:tc>
          <w:tcPr>
            <w:tcW w:w="2689" w:type="dxa"/>
            <w:shd w:val="clear" w:color="auto" w:fill="auto"/>
          </w:tcPr>
          <w:p w14:paraId="3A8DFE61" w14:textId="480AB056" w:rsidR="009E1294" w:rsidRPr="00EE5A46" w:rsidRDefault="009E1294" w:rsidP="00AC6DF1">
            <w:pPr>
              <w:spacing w:line="360" w:lineRule="auto"/>
              <w:jc w:val="both"/>
              <w:rPr>
                <w:rFonts w:ascii="Times New Roman" w:hAnsi="Times New Roman" w:cs="Times New Roman"/>
                <w:b/>
                <w:bCs/>
              </w:rPr>
            </w:pPr>
            <w:r w:rsidRPr="00EE5A46">
              <w:rPr>
                <w:rFonts w:ascii="Times New Roman" w:hAnsi="Times New Roman" w:cs="Times New Roman"/>
                <w:b/>
                <w:bCs/>
              </w:rPr>
              <w:t>Type of Merger</w:t>
            </w:r>
          </w:p>
        </w:tc>
        <w:tc>
          <w:tcPr>
            <w:tcW w:w="6327" w:type="dxa"/>
            <w:gridSpan w:val="3"/>
            <w:shd w:val="clear" w:color="auto" w:fill="auto"/>
          </w:tcPr>
          <w:p w14:paraId="74649837" w14:textId="04DE3986" w:rsidR="009E1294" w:rsidRPr="00EE5A46" w:rsidRDefault="00F044A6" w:rsidP="00AC6DF1">
            <w:pPr>
              <w:spacing w:line="360" w:lineRule="auto"/>
              <w:jc w:val="both"/>
              <w:rPr>
                <w:rFonts w:ascii="Times New Roman" w:hAnsi="Times New Roman" w:cs="Times New Roman"/>
                <w:lang w:val="en-ZW"/>
              </w:rPr>
            </w:pPr>
            <w:r w:rsidRPr="00EE5A46">
              <w:rPr>
                <w:rFonts w:ascii="Times New Roman" w:hAnsi="Times New Roman" w:cs="Times New Roman"/>
                <w:lang w:val="en-ZW"/>
              </w:rPr>
              <w:t xml:space="preserve">     </w:t>
            </w:r>
            <w:r w:rsidR="009E1294" w:rsidRPr="00EE5A46">
              <w:rPr>
                <w:rFonts w:ascii="Times New Roman" w:hAnsi="Times New Roman" w:cs="Times New Roman"/>
                <w:lang w:val="en-ZW"/>
              </w:rPr>
              <w:t>Horizontal</w:t>
            </w:r>
          </w:p>
        </w:tc>
      </w:tr>
      <w:tr w:rsidR="009E1294" w:rsidRPr="00EE5A46" w14:paraId="0CB57C96" w14:textId="77777777" w:rsidTr="00D01185">
        <w:tc>
          <w:tcPr>
            <w:tcW w:w="2689" w:type="dxa"/>
            <w:shd w:val="clear" w:color="auto" w:fill="auto"/>
          </w:tcPr>
          <w:p w14:paraId="4374165F" w14:textId="4E4BCC21" w:rsidR="009E1294" w:rsidRPr="00EE5A46" w:rsidRDefault="009E1294" w:rsidP="00AC6DF1">
            <w:pPr>
              <w:spacing w:line="360" w:lineRule="auto"/>
              <w:jc w:val="both"/>
              <w:rPr>
                <w:rFonts w:ascii="Times New Roman" w:hAnsi="Times New Roman" w:cs="Times New Roman"/>
                <w:b/>
                <w:bCs/>
              </w:rPr>
            </w:pPr>
            <w:r w:rsidRPr="00EE5A46">
              <w:rPr>
                <w:rFonts w:ascii="Times New Roman" w:hAnsi="Times New Roman" w:cs="Times New Roman"/>
                <w:b/>
                <w:bCs/>
              </w:rPr>
              <w:t xml:space="preserve">Commission’s Decision </w:t>
            </w:r>
          </w:p>
        </w:tc>
        <w:tc>
          <w:tcPr>
            <w:tcW w:w="6327" w:type="dxa"/>
            <w:gridSpan w:val="3"/>
            <w:shd w:val="clear" w:color="auto" w:fill="auto"/>
          </w:tcPr>
          <w:p w14:paraId="578B0E6E" w14:textId="08CD7349" w:rsidR="009E1294" w:rsidRPr="00EE5A46" w:rsidRDefault="00F044A6" w:rsidP="00AC6DF1">
            <w:pPr>
              <w:spacing w:line="360" w:lineRule="auto"/>
              <w:jc w:val="both"/>
              <w:rPr>
                <w:rFonts w:ascii="Times New Roman" w:hAnsi="Times New Roman" w:cs="Times New Roman"/>
                <w:lang w:val="en-ZW"/>
              </w:rPr>
            </w:pPr>
            <w:r w:rsidRPr="00EE5A46">
              <w:rPr>
                <w:rFonts w:ascii="Times New Roman" w:hAnsi="Times New Roman" w:cs="Times New Roman"/>
                <w:lang w:val="en-ZW"/>
              </w:rPr>
              <w:t xml:space="preserve">     </w:t>
            </w:r>
            <w:r w:rsidR="009E1294" w:rsidRPr="00EE5A46">
              <w:rPr>
                <w:rFonts w:ascii="Times New Roman" w:hAnsi="Times New Roman" w:cs="Times New Roman"/>
                <w:lang w:val="en-ZW"/>
              </w:rPr>
              <w:t xml:space="preserve">The merger was approved without conditions </w:t>
            </w:r>
          </w:p>
        </w:tc>
      </w:tr>
      <w:tr w:rsidR="00D25B9E" w:rsidRPr="00EE5A46" w14:paraId="6DB34933" w14:textId="77777777" w:rsidTr="006E03ED">
        <w:tc>
          <w:tcPr>
            <w:tcW w:w="9016" w:type="dxa"/>
            <w:gridSpan w:val="4"/>
            <w:shd w:val="clear" w:color="auto" w:fill="auto"/>
          </w:tcPr>
          <w:p w14:paraId="46921819" w14:textId="77777777" w:rsidR="00D25B9E" w:rsidRPr="00EE5A46" w:rsidRDefault="00D25B9E" w:rsidP="00AC6DF1">
            <w:pPr>
              <w:spacing w:line="360" w:lineRule="auto"/>
              <w:jc w:val="both"/>
              <w:rPr>
                <w:rFonts w:ascii="Times New Roman" w:hAnsi="Times New Roman" w:cs="Times New Roman"/>
                <w:lang w:val="en-ZW"/>
              </w:rPr>
            </w:pPr>
          </w:p>
        </w:tc>
      </w:tr>
      <w:tr w:rsidR="00FD7154" w:rsidRPr="00EE5A46" w14:paraId="3DCCC0E8" w14:textId="77777777" w:rsidTr="00FD7154">
        <w:tc>
          <w:tcPr>
            <w:tcW w:w="2689" w:type="dxa"/>
            <w:shd w:val="clear" w:color="auto" w:fill="84E290" w:themeFill="accent3" w:themeFillTint="66"/>
          </w:tcPr>
          <w:p w14:paraId="322626C9" w14:textId="4E46DA41" w:rsidR="00FD7154" w:rsidRPr="00EE5A46" w:rsidRDefault="00FD7154" w:rsidP="00FD7154">
            <w:pPr>
              <w:spacing w:line="360" w:lineRule="auto"/>
              <w:jc w:val="both"/>
              <w:rPr>
                <w:rFonts w:ascii="Times New Roman" w:hAnsi="Times New Roman" w:cs="Times New Roman"/>
                <w:b/>
                <w:bCs/>
              </w:rPr>
            </w:pPr>
            <w:r w:rsidRPr="00EE5A46">
              <w:rPr>
                <w:rFonts w:ascii="Times New Roman" w:hAnsi="Times New Roman" w:cs="Times New Roman"/>
                <w:b/>
                <w:bCs/>
              </w:rPr>
              <w:t>Reference Number</w:t>
            </w:r>
          </w:p>
        </w:tc>
        <w:tc>
          <w:tcPr>
            <w:tcW w:w="6327" w:type="dxa"/>
            <w:gridSpan w:val="3"/>
            <w:shd w:val="clear" w:color="auto" w:fill="84E290" w:themeFill="accent3" w:themeFillTint="66"/>
          </w:tcPr>
          <w:p w14:paraId="7CAAC176" w14:textId="2EA358D1" w:rsidR="00FD7154" w:rsidRPr="00EE5A46" w:rsidRDefault="00FD7154" w:rsidP="00FD7154">
            <w:pPr>
              <w:spacing w:line="360" w:lineRule="auto"/>
              <w:jc w:val="both"/>
              <w:rPr>
                <w:rFonts w:ascii="Times New Roman" w:hAnsi="Times New Roman" w:cs="Times New Roman"/>
                <w:lang w:val="en-ZW"/>
              </w:rPr>
            </w:pPr>
            <w:r w:rsidRPr="00EE5A46">
              <w:rPr>
                <w:rFonts w:ascii="Times New Roman" w:eastAsia="Calibri" w:hAnsi="Times New Roman" w:cs="Times New Roman"/>
                <w:bCs/>
                <w:kern w:val="0"/>
                <w14:ligatures w14:val="none"/>
              </w:rPr>
              <w:t>C</w:t>
            </w:r>
            <w:r w:rsidRPr="00EE5A46">
              <w:rPr>
                <w:rFonts w:ascii="Times New Roman" w:eastAsia="Calibri" w:hAnsi="Times New Roman" w:cs="Times New Roman"/>
                <w:kern w:val="0"/>
                <w14:ligatures w14:val="none"/>
              </w:rPr>
              <w:t>TC/Tech/Mergers/2025/13</w:t>
            </w:r>
          </w:p>
        </w:tc>
      </w:tr>
      <w:tr w:rsidR="00FD7154" w:rsidRPr="00EE5A46" w14:paraId="2535C7A7" w14:textId="77777777" w:rsidTr="00FD7154">
        <w:tc>
          <w:tcPr>
            <w:tcW w:w="2689" w:type="dxa"/>
            <w:shd w:val="clear" w:color="auto" w:fill="auto"/>
          </w:tcPr>
          <w:p w14:paraId="431387C8" w14:textId="2D05FEFB" w:rsidR="00FD7154" w:rsidRPr="00EE5A46" w:rsidRDefault="00FD7154" w:rsidP="00FD7154">
            <w:pPr>
              <w:spacing w:line="360" w:lineRule="auto"/>
              <w:jc w:val="both"/>
              <w:rPr>
                <w:rFonts w:ascii="Times New Roman" w:hAnsi="Times New Roman" w:cs="Times New Roman"/>
                <w:b/>
                <w:bCs/>
              </w:rPr>
            </w:pPr>
            <w:r w:rsidRPr="00EE5A46">
              <w:rPr>
                <w:rFonts w:ascii="Times New Roman" w:hAnsi="Times New Roman" w:cs="Times New Roman"/>
                <w:b/>
                <w:bCs/>
              </w:rPr>
              <w:t>Merger</w:t>
            </w:r>
          </w:p>
        </w:tc>
        <w:tc>
          <w:tcPr>
            <w:tcW w:w="6327" w:type="dxa"/>
            <w:gridSpan w:val="3"/>
            <w:shd w:val="clear" w:color="auto" w:fill="auto"/>
          </w:tcPr>
          <w:p w14:paraId="5F4CED3B" w14:textId="16728BD0" w:rsidR="00FD7154" w:rsidRPr="00EE5A46" w:rsidRDefault="00853BCC" w:rsidP="00FD7154">
            <w:pPr>
              <w:spacing w:line="360" w:lineRule="auto"/>
              <w:jc w:val="both"/>
              <w:rPr>
                <w:rFonts w:ascii="Times New Roman" w:eastAsia="Calibri" w:hAnsi="Times New Roman" w:cs="Times New Roman"/>
                <w:bCs/>
                <w:kern w:val="0"/>
                <w14:ligatures w14:val="none"/>
              </w:rPr>
            </w:pPr>
            <w:r w:rsidRPr="00EE5A46">
              <w:rPr>
                <w:rFonts w:ascii="Times New Roman" w:hAnsi="Times New Roman" w:cs="Times New Roman"/>
                <w:color w:val="000000"/>
              </w:rPr>
              <w:t>Proposed acquisition of 50% shareholding in Ramangwana Zimbabwe (Pvt) Ltd by Digital Dock (Pvt) Ltd.</w:t>
            </w:r>
          </w:p>
        </w:tc>
      </w:tr>
      <w:tr w:rsidR="001940DE" w:rsidRPr="00EE5A46" w14:paraId="01B60A61" w14:textId="77777777" w:rsidTr="00FD7154">
        <w:tc>
          <w:tcPr>
            <w:tcW w:w="2689" w:type="dxa"/>
            <w:shd w:val="clear" w:color="auto" w:fill="auto"/>
          </w:tcPr>
          <w:p w14:paraId="463739D3" w14:textId="537CCA92" w:rsidR="001940DE" w:rsidRPr="00EE5A46" w:rsidRDefault="001940DE" w:rsidP="00FD7154">
            <w:pPr>
              <w:spacing w:line="360" w:lineRule="auto"/>
              <w:jc w:val="both"/>
              <w:rPr>
                <w:rFonts w:ascii="Times New Roman" w:hAnsi="Times New Roman" w:cs="Times New Roman"/>
                <w:b/>
                <w:bCs/>
              </w:rPr>
            </w:pPr>
            <w:r w:rsidRPr="00EE5A46">
              <w:rPr>
                <w:rFonts w:ascii="Times New Roman" w:hAnsi="Times New Roman" w:cs="Times New Roman"/>
                <w:b/>
                <w:bCs/>
              </w:rPr>
              <w:t>Full Notifcation Date</w:t>
            </w:r>
          </w:p>
        </w:tc>
        <w:tc>
          <w:tcPr>
            <w:tcW w:w="6327" w:type="dxa"/>
            <w:gridSpan w:val="3"/>
            <w:shd w:val="clear" w:color="auto" w:fill="auto"/>
          </w:tcPr>
          <w:p w14:paraId="4FB22EB1" w14:textId="3ABFBC73" w:rsidR="001940DE" w:rsidRPr="00EE5A46" w:rsidRDefault="001940DE" w:rsidP="00FD7154">
            <w:pPr>
              <w:spacing w:line="360" w:lineRule="auto"/>
              <w:jc w:val="both"/>
              <w:rPr>
                <w:rFonts w:ascii="Times New Roman" w:eastAsia="Calibri" w:hAnsi="Times New Roman" w:cs="Times New Roman"/>
                <w:bCs/>
                <w:kern w:val="0"/>
                <w14:ligatures w14:val="none"/>
              </w:rPr>
            </w:pPr>
            <w:r w:rsidRPr="00EE5A46">
              <w:rPr>
                <w:rFonts w:ascii="Times New Roman" w:eastAsia="Calibri" w:hAnsi="Times New Roman" w:cs="Times New Roman"/>
                <w:bCs/>
                <w:kern w:val="0"/>
                <w14:ligatures w14:val="none"/>
              </w:rPr>
              <w:t xml:space="preserve">30 </w:t>
            </w:r>
            <w:r w:rsidR="0008738A" w:rsidRPr="00EE5A46">
              <w:rPr>
                <w:rFonts w:ascii="Times New Roman" w:eastAsia="Calibri" w:hAnsi="Times New Roman" w:cs="Times New Roman"/>
                <w:bCs/>
                <w:kern w:val="0"/>
                <w14:ligatures w14:val="none"/>
              </w:rPr>
              <w:t>April</w:t>
            </w:r>
            <w:r w:rsidRPr="00EE5A46">
              <w:rPr>
                <w:rFonts w:ascii="Times New Roman" w:eastAsia="Calibri" w:hAnsi="Times New Roman" w:cs="Times New Roman"/>
                <w:bCs/>
                <w:kern w:val="0"/>
                <w14:ligatures w14:val="none"/>
              </w:rPr>
              <w:t xml:space="preserve"> 2025</w:t>
            </w:r>
          </w:p>
        </w:tc>
      </w:tr>
      <w:tr w:rsidR="004A1BF4" w:rsidRPr="00EE5A46" w14:paraId="44B6B31E" w14:textId="77777777" w:rsidTr="00FD7154">
        <w:tc>
          <w:tcPr>
            <w:tcW w:w="2689" w:type="dxa"/>
            <w:shd w:val="clear" w:color="auto" w:fill="auto"/>
          </w:tcPr>
          <w:p w14:paraId="115498DE" w14:textId="45AA9E37" w:rsidR="004A1BF4" w:rsidRPr="00EE5A46" w:rsidRDefault="004A1BF4" w:rsidP="00FD7154">
            <w:pPr>
              <w:spacing w:line="360" w:lineRule="auto"/>
              <w:jc w:val="both"/>
              <w:rPr>
                <w:rFonts w:ascii="Times New Roman" w:hAnsi="Times New Roman" w:cs="Times New Roman"/>
                <w:b/>
                <w:bCs/>
              </w:rPr>
            </w:pPr>
            <w:r w:rsidRPr="00EE5A46">
              <w:rPr>
                <w:rFonts w:ascii="Times New Roman" w:hAnsi="Times New Roman" w:cs="Times New Roman"/>
                <w:b/>
                <w:bCs/>
              </w:rPr>
              <w:t>Acquirer</w:t>
            </w:r>
          </w:p>
        </w:tc>
        <w:tc>
          <w:tcPr>
            <w:tcW w:w="6327" w:type="dxa"/>
            <w:gridSpan w:val="3"/>
            <w:shd w:val="clear" w:color="auto" w:fill="auto"/>
          </w:tcPr>
          <w:p w14:paraId="75792CC0" w14:textId="114AAEFF" w:rsidR="004A1BF4" w:rsidRPr="00EE5A46" w:rsidRDefault="004A1BF4" w:rsidP="00FD7154">
            <w:pPr>
              <w:spacing w:line="360" w:lineRule="auto"/>
              <w:jc w:val="both"/>
              <w:rPr>
                <w:rFonts w:ascii="Times New Roman" w:eastAsia="Calibri" w:hAnsi="Times New Roman" w:cs="Times New Roman"/>
                <w:bCs/>
                <w:kern w:val="0"/>
                <w14:ligatures w14:val="none"/>
              </w:rPr>
            </w:pPr>
            <w:r w:rsidRPr="00EE5A46">
              <w:rPr>
                <w:rFonts w:ascii="Times New Roman" w:eastAsia="Calibri" w:hAnsi="Times New Roman" w:cs="Times New Roman"/>
                <w:bCs/>
                <w:kern w:val="0"/>
                <w14:ligatures w14:val="none"/>
              </w:rPr>
              <w:t>Digital Dock</w:t>
            </w:r>
            <w:r w:rsidR="00E7314B" w:rsidRPr="00EE5A46">
              <w:rPr>
                <w:rFonts w:ascii="Times New Roman" w:eastAsia="Calibri" w:hAnsi="Times New Roman" w:cs="Times New Roman"/>
                <w:bCs/>
                <w:kern w:val="0"/>
                <w14:ligatures w14:val="none"/>
              </w:rPr>
              <w:t xml:space="preserve"> (Pvt) Ltd</w:t>
            </w:r>
          </w:p>
        </w:tc>
      </w:tr>
      <w:tr w:rsidR="004A1BF4" w:rsidRPr="00EE5A46" w14:paraId="627F8B3E" w14:textId="77777777" w:rsidTr="00FD7154">
        <w:tc>
          <w:tcPr>
            <w:tcW w:w="2689" w:type="dxa"/>
            <w:shd w:val="clear" w:color="auto" w:fill="auto"/>
          </w:tcPr>
          <w:p w14:paraId="60CCEFC5" w14:textId="669C3E22" w:rsidR="004A1BF4" w:rsidRPr="00EE5A46" w:rsidRDefault="004A1BF4" w:rsidP="00FD7154">
            <w:pPr>
              <w:spacing w:line="360" w:lineRule="auto"/>
              <w:jc w:val="both"/>
              <w:rPr>
                <w:rFonts w:ascii="Times New Roman" w:hAnsi="Times New Roman" w:cs="Times New Roman"/>
                <w:b/>
                <w:bCs/>
              </w:rPr>
            </w:pPr>
            <w:r w:rsidRPr="00EE5A46">
              <w:rPr>
                <w:rFonts w:ascii="Times New Roman" w:hAnsi="Times New Roman" w:cs="Times New Roman"/>
                <w:b/>
                <w:bCs/>
              </w:rPr>
              <w:lastRenderedPageBreak/>
              <w:t>Target</w:t>
            </w:r>
          </w:p>
        </w:tc>
        <w:tc>
          <w:tcPr>
            <w:tcW w:w="6327" w:type="dxa"/>
            <w:gridSpan w:val="3"/>
            <w:shd w:val="clear" w:color="auto" w:fill="auto"/>
          </w:tcPr>
          <w:p w14:paraId="31173601" w14:textId="32556B7D" w:rsidR="004A1BF4" w:rsidRPr="00EE5A46" w:rsidRDefault="00E7314B" w:rsidP="00FD7154">
            <w:pPr>
              <w:spacing w:line="360" w:lineRule="auto"/>
              <w:jc w:val="both"/>
              <w:rPr>
                <w:rFonts w:ascii="Times New Roman" w:eastAsia="Calibri" w:hAnsi="Times New Roman" w:cs="Times New Roman"/>
                <w:bCs/>
                <w:kern w:val="0"/>
                <w14:ligatures w14:val="none"/>
              </w:rPr>
            </w:pPr>
            <w:r w:rsidRPr="00EE5A46">
              <w:rPr>
                <w:rFonts w:ascii="Times New Roman" w:eastAsia="Calibri" w:hAnsi="Times New Roman" w:cs="Times New Roman"/>
                <w:bCs/>
                <w:kern w:val="0"/>
                <w14:ligatures w14:val="none"/>
              </w:rPr>
              <w:t>Ramangwana Zimbabwe (Pvt) Ltd</w:t>
            </w:r>
          </w:p>
        </w:tc>
      </w:tr>
      <w:tr w:rsidR="004E4387" w:rsidRPr="00EE5A46" w14:paraId="31A41FE4" w14:textId="77777777" w:rsidTr="009A1C60">
        <w:tc>
          <w:tcPr>
            <w:tcW w:w="9016" w:type="dxa"/>
            <w:gridSpan w:val="4"/>
            <w:shd w:val="clear" w:color="auto" w:fill="auto"/>
          </w:tcPr>
          <w:p w14:paraId="244B98ED" w14:textId="77777777" w:rsidR="005355EF" w:rsidRPr="00EE5A46" w:rsidRDefault="004E4387" w:rsidP="00FD7154">
            <w:pPr>
              <w:spacing w:line="360" w:lineRule="auto"/>
              <w:jc w:val="both"/>
              <w:rPr>
                <w:rFonts w:ascii="Times New Roman" w:hAnsi="Times New Roman" w:cs="Times New Roman"/>
                <w:color w:val="000000"/>
              </w:rPr>
            </w:pPr>
            <w:r w:rsidRPr="00EE5A46">
              <w:rPr>
                <w:rFonts w:ascii="Times New Roman" w:hAnsi="Times New Roman" w:cs="Times New Roman"/>
                <w:b/>
                <w:bCs/>
              </w:rPr>
              <w:t>Merger Details</w:t>
            </w:r>
            <w:r w:rsidR="005355EF" w:rsidRPr="00EE5A46">
              <w:rPr>
                <w:rFonts w:ascii="Times New Roman" w:hAnsi="Times New Roman" w:cs="Times New Roman"/>
                <w:color w:val="000000"/>
              </w:rPr>
              <w:t xml:space="preserve"> </w:t>
            </w:r>
          </w:p>
          <w:p w14:paraId="77CDEA58" w14:textId="6BB1EFDB" w:rsidR="004E4387" w:rsidRPr="00EE5A46" w:rsidRDefault="005355EF" w:rsidP="00FD7154">
            <w:pPr>
              <w:spacing w:line="360" w:lineRule="auto"/>
              <w:jc w:val="both"/>
              <w:rPr>
                <w:rFonts w:ascii="Times New Roman" w:hAnsi="Times New Roman" w:cs="Times New Roman"/>
                <w:b/>
                <w:bCs/>
              </w:rPr>
            </w:pPr>
            <w:r w:rsidRPr="00EE5A46">
              <w:rPr>
                <w:rFonts w:ascii="Times New Roman" w:hAnsi="Times New Roman" w:cs="Times New Roman"/>
                <w:color w:val="000000"/>
              </w:rPr>
              <w:t xml:space="preserve">The transaction entails the proposed acquisition of 50% shareholding in Ramangwana Zimbabwe (Pvt) Ltd </w:t>
            </w:r>
            <w:r w:rsidRPr="00EE5A46">
              <w:rPr>
                <w:rFonts w:ascii="Times New Roman" w:hAnsi="Times New Roman" w:cs="Times New Roman"/>
                <w:i/>
                <w:iCs/>
                <w:color w:val="000000"/>
              </w:rPr>
              <w:t>(“</w:t>
            </w:r>
            <w:r w:rsidRPr="00EE5A46">
              <w:rPr>
                <w:rFonts w:ascii="Times New Roman" w:hAnsi="Times New Roman" w:cs="Times New Roman"/>
                <w:b/>
                <w:bCs/>
                <w:i/>
                <w:iCs/>
                <w:color w:val="000000"/>
              </w:rPr>
              <w:t>Ramangwana</w:t>
            </w:r>
            <w:r w:rsidRPr="00EE5A46">
              <w:rPr>
                <w:rFonts w:ascii="Times New Roman" w:hAnsi="Times New Roman" w:cs="Times New Roman"/>
                <w:i/>
                <w:iCs/>
                <w:color w:val="000000"/>
              </w:rPr>
              <w:t>”)</w:t>
            </w:r>
            <w:r w:rsidRPr="00EE5A46">
              <w:rPr>
                <w:rFonts w:ascii="Times New Roman" w:hAnsi="Times New Roman" w:cs="Times New Roman"/>
                <w:color w:val="000000"/>
              </w:rPr>
              <w:t xml:space="preserve"> by Digital Dock (Pvt) Ltd </w:t>
            </w:r>
            <w:r w:rsidRPr="00EE5A46">
              <w:rPr>
                <w:rFonts w:ascii="Times New Roman" w:hAnsi="Times New Roman" w:cs="Times New Roman"/>
                <w:i/>
                <w:iCs/>
                <w:color w:val="000000"/>
              </w:rPr>
              <w:t>(“</w:t>
            </w:r>
            <w:r w:rsidRPr="00EE5A46">
              <w:rPr>
                <w:rFonts w:ascii="Times New Roman" w:hAnsi="Times New Roman" w:cs="Times New Roman"/>
                <w:b/>
                <w:bCs/>
                <w:i/>
                <w:iCs/>
                <w:color w:val="000000"/>
              </w:rPr>
              <w:t>Digital Dock</w:t>
            </w:r>
            <w:r w:rsidRPr="00EE5A46">
              <w:rPr>
                <w:rFonts w:ascii="Times New Roman" w:hAnsi="Times New Roman" w:cs="Times New Roman"/>
                <w:i/>
                <w:iCs/>
                <w:color w:val="000000"/>
              </w:rPr>
              <w:t>”)</w:t>
            </w:r>
            <w:r w:rsidRPr="00EE5A46">
              <w:rPr>
                <w:rFonts w:ascii="Times New Roman" w:hAnsi="Times New Roman" w:cs="Times New Roman"/>
                <w:color w:val="000000"/>
              </w:rPr>
              <w:t xml:space="preserve">. </w:t>
            </w:r>
            <w:r w:rsidRPr="00EE5A46">
              <w:rPr>
                <w:rFonts w:ascii="Times New Roman" w:hAnsi="Times New Roman" w:cs="Times New Roman"/>
                <w:color w:val="000000"/>
                <w:lang w:val="en-ZW"/>
              </w:rPr>
              <w:t xml:space="preserve">The transaction results in an indirect acquisition of 20.5% shareholding in Dark Fibre Africa Zimbabwe (Pvt) Ltd </w:t>
            </w:r>
            <w:r w:rsidRPr="00EE5A46">
              <w:rPr>
                <w:rFonts w:ascii="Times New Roman" w:hAnsi="Times New Roman" w:cs="Times New Roman"/>
                <w:b/>
                <w:bCs/>
                <w:i/>
                <w:iCs/>
                <w:color w:val="000000"/>
                <w:lang w:val="en-ZW"/>
              </w:rPr>
              <w:t xml:space="preserve">(“DFA Zimbabwe”) </w:t>
            </w:r>
            <w:r w:rsidRPr="00EE5A46">
              <w:rPr>
                <w:rFonts w:ascii="Times New Roman" w:hAnsi="Times New Roman" w:cs="Times New Roman"/>
                <w:color w:val="000000"/>
                <w:lang w:val="en-ZW"/>
              </w:rPr>
              <w:t xml:space="preserve">by Digital Dock. </w:t>
            </w:r>
            <w:r w:rsidRPr="00EE5A46">
              <w:rPr>
                <w:rFonts w:ascii="Times New Roman" w:hAnsi="Times New Roman" w:cs="Times New Roman"/>
                <w:color w:val="000000"/>
              </w:rPr>
              <w:t>Digital Dock and Ramangwana are both special purpose vehicles. Digital Dock was incorporated to provide funding to DFA Zimbabwe through private equity, with no other business interests at the time of the transaction. Ramangwana, on the other hand, was established to hold a 41% shareholding in DFA Zimbabwe, a telecommunications company that specializes in building fiber optic infrastructure, managing unlit (dark) and lit fiber, and providing internet services.</w:t>
            </w:r>
          </w:p>
        </w:tc>
      </w:tr>
      <w:tr w:rsidR="008F6481" w:rsidRPr="00EE5A46" w14:paraId="3C7909DD" w14:textId="77777777" w:rsidTr="00FD7154">
        <w:tc>
          <w:tcPr>
            <w:tcW w:w="2689" w:type="dxa"/>
            <w:shd w:val="clear" w:color="auto" w:fill="auto"/>
          </w:tcPr>
          <w:p w14:paraId="678CFB37" w14:textId="453DD7B4" w:rsidR="008F6481" w:rsidRPr="00EE5A46" w:rsidRDefault="008F6481" w:rsidP="00FD7154">
            <w:pPr>
              <w:spacing w:line="360" w:lineRule="auto"/>
              <w:jc w:val="both"/>
              <w:rPr>
                <w:rFonts w:ascii="Times New Roman" w:hAnsi="Times New Roman" w:cs="Times New Roman"/>
                <w:b/>
                <w:bCs/>
              </w:rPr>
            </w:pPr>
            <w:r w:rsidRPr="00EE5A46">
              <w:rPr>
                <w:rFonts w:ascii="Times New Roman" w:hAnsi="Times New Roman" w:cs="Times New Roman"/>
                <w:b/>
                <w:bCs/>
              </w:rPr>
              <w:t>Relevant Market</w:t>
            </w:r>
          </w:p>
        </w:tc>
        <w:tc>
          <w:tcPr>
            <w:tcW w:w="6327" w:type="dxa"/>
            <w:gridSpan w:val="3"/>
            <w:shd w:val="clear" w:color="auto" w:fill="auto"/>
          </w:tcPr>
          <w:p w14:paraId="268E4EFD" w14:textId="7DCAB74F" w:rsidR="008F6481" w:rsidRPr="00EE5A46" w:rsidRDefault="005E3322" w:rsidP="00E9123D">
            <w:pPr>
              <w:spacing w:line="360" w:lineRule="auto"/>
              <w:jc w:val="both"/>
              <w:rPr>
                <w:rFonts w:ascii="Times New Roman" w:eastAsia="Calibri" w:hAnsi="Times New Roman" w:cs="Times New Roman"/>
                <w:color w:val="000000" w:themeColor="text1"/>
              </w:rPr>
            </w:pPr>
            <w:r w:rsidRPr="00EE5A46">
              <w:rPr>
                <w:rFonts w:ascii="Times New Roman" w:eastAsia="Calibri" w:hAnsi="Times New Roman" w:cs="Times New Roman"/>
                <w:i/>
                <w:iCs/>
                <w:color w:val="000000" w:themeColor="text1"/>
              </w:rPr>
              <w:t>Provision of internet infrastructure and services in Zimbabwe; and the provision of private equity funding in Zimbabwe</w:t>
            </w:r>
          </w:p>
        </w:tc>
      </w:tr>
      <w:tr w:rsidR="0039146D" w:rsidRPr="00EE5A46" w14:paraId="3B77694B" w14:textId="77777777" w:rsidTr="00FD7154">
        <w:tc>
          <w:tcPr>
            <w:tcW w:w="2689" w:type="dxa"/>
            <w:shd w:val="clear" w:color="auto" w:fill="auto"/>
          </w:tcPr>
          <w:p w14:paraId="696DBBCC" w14:textId="56A460EE" w:rsidR="0039146D" w:rsidRPr="00EE5A46" w:rsidRDefault="0039146D" w:rsidP="00FD7154">
            <w:pPr>
              <w:spacing w:line="360" w:lineRule="auto"/>
              <w:jc w:val="both"/>
              <w:rPr>
                <w:rFonts w:ascii="Times New Roman" w:hAnsi="Times New Roman" w:cs="Times New Roman"/>
                <w:b/>
                <w:bCs/>
              </w:rPr>
            </w:pPr>
            <w:r w:rsidRPr="00EE5A46">
              <w:rPr>
                <w:rFonts w:ascii="Times New Roman" w:hAnsi="Times New Roman" w:cs="Times New Roman"/>
                <w:b/>
                <w:bCs/>
              </w:rPr>
              <w:t>Type of Merger</w:t>
            </w:r>
          </w:p>
        </w:tc>
        <w:tc>
          <w:tcPr>
            <w:tcW w:w="6327" w:type="dxa"/>
            <w:gridSpan w:val="3"/>
            <w:shd w:val="clear" w:color="auto" w:fill="auto"/>
          </w:tcPr>
          <w:p w14:paraId="31CA5DA6" w14:textId="0D980BD2" w:rsidR="0039146D" w:rsidRPr="00EE5A46" w:rsidRDefault="0039146D" w:rsidP="00E9123D">
            <w:pPr>
              <w:spacing w:line="360" w:lineRule="auto"/>
              <w:jc w:val="both"/>
              <w:rPr>
                <w:rFonts w:ascii="Times New Roman" w:eastAsia="Calibri" w:hAnsi="Times New Roman" w:cs="Times New Roman"/>
                <w:color w:val="000000" w:themeColor="text1"/>
              </w:rPr>
            </w:pPr>
            <w:r w:rsidRPr="00EE5A46">
              <w:rPr>
                <w:rFonts w:ascii="Times New Roman" w:eastAsia="Calibri" w:hAnsi="Times New Roman" w:cs="Times New Roman"/>
                <w:color w:val="000000" w:themeColor="text1"/>
              </w:rPr>
              <w:t>Conglomerate</w:t>
            </w:r>
          </w:p>
        </w:tc>
      </w:tr>
      <w:tr w:rsidR="0039146D" w:rsidRPr="00EE5A46" w14:paraId="2DC8BEBA" w14:textId="77777777" w:rsidTr="00FD7154">
        <w:tc>
          <w:tcPr>
            <w:tcW w:w="2689" w:type="dxa"/>
            <w:shd w:val="clear" w:color="auto" w:fill="auto"/>
          </w:tcPr>
          <w:p w14:paraId="02695723" w14:textId="03B2FA0C" w:rsidR="0039146D" w:rsidRPr="00EE5A46" w:rsidRDefault="00353A05" w:rsidP="00FD7154">
            <w:pPr>
              <w:spacing w:line="360" w:lineRule="auto"/>
              <w:jc w:val="both"/>
              <w:rPr>
                <w:rFonts w:ascii="Times New Roman" w:hAnsi="Times New Roman" w:cs="Times New Roman"/>
                <w:b/>
                <w:bCs/>
              </w:rPr>
            </w:pPr>
            <w:r w:rsidRPr="00EE5A46">
              <w:rPr>
                <w:rFonts w:ascii="Times New Roman" w:hAnsi="Times New Roman" w:cs="Times New Roman"/>
                <w:b/>
                <w:bCs/>
              </w:rPr>
              <w:t>Commission’s Decision</w:t>
            </w:r>
          </w:p>
        </w:tc>
        <w:tc>
          <w:tcPr>
            <w:tcW w:w="6327" w:type="dxa"/>
            <w:gridSpan w:val="3"/>
            <w:shd w:val="clear" w:color="auto" w:fill="auto"/>
          </w:tcPr>
          <w:p w14:paraId="1E408F5E" w14:textId="3DF37E0D" w:rsidR="0039146D" w:rsidRPr="00EE5A46" w:rsidRDefault="00353A05" w:rsidP="00E9123D">
            <w:pPr>
              <w:spacing w:line="360" w:lineRule="auto"/>
              <w:jc w:val="both"/>
              <w:rPr>
                <w:rFonts w:ascii="Times New Roman" w:eastAsia="Calibri" w:hAnsi="Times New Roman" w:cs="Times New Roman"/>
                <w:color w:val="000000" w:themeColor="text1"/>
              </w:rPr>
            </w:pPr>
            <w:r w:rsidRPr="00EE5A46">
              <w:rPr>
                <w:rFonts w:ascii="Times New Roman" w:eastAsia="Calibri" w:hAnsi="Times New Roman" w:cs="Times New Roman"/>
                <w:color w:val="000000" w:themeColor="text1"/>
              </w:rPr>
              <w:t>The merger was approved without conditions</w:t>
            </w:r>
          </w:p>
        </w:tc>
      </w:tr>
      <w:tr w:rsidR="009318A2" w:rsidRPr="00EE5A46" w14:paraId="40F1180B" w14:textId="77777777" w:rsidTr="004701C6">
        <w:tc>
          <w:tcPr>
            <w:tcW w:w="9016" w:type="dxa"/>
            <w:gridSpan w:val="4"/>
            <w:shd w:val="clear" w:color="auto" w:fill="auto"/>
          </w:tcPr>
          <w:p w14:paraId="4EF5A613" w14:textId="77777777" w:rsidR="009318A2" w:rsidRPr="00EE5A46" w:rsidRDefault="009318A2" w:rsidP="00E9123D">
            <w:pPr>
              <w:spacing w:line="360" w:lineRule="auto"/>
              <w:jc w:val="both"/>
              <w:rPr>
                <w:rFonts w:ascii="Times New Roman" w:eastAsia="Calibri" w:hAnsi="Times New Roman" w:cs="Times New Roman"/>
                <w:color w:val="000000" w:themeColor="text1"/>
              </w:rPr>
            </w:pPr>
          </w:p>
        </w:tc>
      </w:tr>
      <w:tr w:rsidR="009318A2" w:rsidRPr="00EE5A46" w14:paraId="16A29A9A" w14:textId="77777777" w:rsidTr="00911F8F">
        <w:tc>
          <w:tcPr>
            <w:tcW w:w="2689" w:type="dxa"/>
            <w:shd w:val="clear" w:color="auto" w:fill="8DD873" w:themeFill="accent6" w:themeFillTint="99"/>
          </w:tcPr>
          <w:p w14:paraId="46A2CB9F" w14:textId="2458E4C6" w:rsidR="009318A2" w:rsidRPr="00EE5A46" w:rsidRDefault="009318A2"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Reference Number</w:t>
            </w:r>
          </w:p>
        </w:tc>
        <w:tc>
          <w:tcPr>
            <w:tcW w:w="6327" w:type="dxa"/>
            <w:gridSpan w:val="3"/>
            <w:shd w:val="clear" w:color="auto" w:fill="8DD873" w:themeFill="accent6" w:themeFillTint="99"/>
          </w:tcPr>
          <w:p w14:paraId="75BAB444" w14:textId="7C0EEEEA" w:rsidR="009318A2" w:rsidRPr="00EE5A46" w:rsidRDefault="00911F8F" w:rsidP="00E9123D">
            <w:pPr>
              <w:spacing w:line="360" w:lineRule="auto"/>
              <w:jc w:val="both"/>
              <w:rPr>
                <w:rFonts w:ascii="Times New Roman" w:eastAsia="Calibri" w:hAnsi="Times New Roman" w:cs="Times New Roman"/>
                <w:color w:val="000000" w:themeColor="text1"/>
              </w:rPr>
            </w:pPr>
            <w:r w:rsidRPr="00EE5A46">
              <w:rPr>
                <w:rFonts w:ascii="Times New Roman" w:eastAsia="Calibri" w:hAnsi="Times New Roman" w:cs="Times New Roman"/>
                <w:bCs/>
                <w:kern w:val="0"/>
                <w14:ligatures w14:val="none"/>
              </w:rPr>
              <w:t>C</w:t>
            </w:r>
            <w:r w:rsidRPr="00EE5A46">
              <w:rPr>
                <w:rFonts w:ascii="Times New Roman" w:eastAsia="Calibri" w:hAnsi="Times New Roman" w:cs="Times New Roman"/>
                <w:kern w:val="0"/>
                <w14:ligatures w14:val="none"/>
              </w:rPr>
              <w:t>TC/Tech/Mergers/2025/18</w:t>
            </w:r>
          </w:p>
        </w:tc>
      </w:tr>
      <w:tr w:rsidR="00911F8F" w:rsidRPr="00EE5A46" w14:paraId="4167AA8D" w14:textId="77777777" w:rsidTr="00911F8F">
        <w:tc>
          <w:tcPr>
            <w:tcW w:w="2689" w:type="dxa"/>
            <w:shd w:val="clear" w:color="auto" w:fill="auto"/>
          </w:tcPr>
          <w:p w14:paraId="39BD892A" w14:textId="71FBCE9A" w:rsidR="00911F8F" w:rsidRPr="00EE5A46" w:rsidRDefault="00911F8F"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Merger</w:t>
            </w:r>
          </w:p>
        </w:tc>
        <w:tc>
          <w:tcPr>
            <w:tcW w:w="6327" w:type="dxa"/>
            <w:gridSpan w:val="3"/>
            <w:shd w:val="clear" w:color="auto" w:fill="auto"/>
          </w:tcPr>
          <w:p w14:paraId="3743DC50" w14:textId="45AA904F" w:rsidR="00911F8F" w:rsidRPr="00EE5A46" w:rsidRDefault="00BF5614" w:rsidP="00E9123D">
            <w:pPr>
              <w:spacing w:line="360" w:lineRule="auto"/>
              <w:jc w:val="both"/>
              <w:rPr>
                <w:rFonts w:ascii="Times New Roman" w:eastAsia="Calibri" w:hAnsi="Times New Roman" w:cs="Times New Roman"/>
                <w:bCs/>
                <w:kern w:val="0"/>
                <w14:ligatures w14:val="none"/>
              </w:rPr>
            </w:pPr>
            <w:r w:rsidRPr="00EE5A46">
              <w:rPr>
                <w:rFonts w:ascii="Times New Roman" w:hAnsi="Times New Roman" w:cs="Times New Roman"/>
                <w:color w:val="000000" w:themeColor="text1"/>
                <w:lang w:val="en-US"/>
              </w:rPr>
              <w:t xml:space="preserve">Proposed acquisition of the assets of Propak (Pvt) Ltd by Africa Steel (Pvt) Ltd.  </w:t>
            </w:r>
          </w:p>
        </w:tc>
      </w:tr>
      <w:tr w:rsidR="00896095" w:rsidRPr="00EE5A46" w14:paraId="6D6AC95A" w14:textId="77777777" w:rsidTr="00911F8F">
        <w:tc>
          <w:tcPr>
            <w:tcW w:w="2689" w:type="dxa"/>
            <w:shd w:val="clear" w:color="auto" w:fill="auto"/>
          </w:tcPr>
          <w:p w14:paraId="0235139D" w14:textId="25E83CFC" w:rsidR="00896095" w:rsidRPr="00EE5A46" w:rsidRDefault="00896095"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 xml:space="preserve">Full Notification Date </w:t>
            </w:r>
          </w:p>
        </w:tc>
        <w:tc>
          <w:tcPr>
            <w:tcW w:w="6327" w:type="dxa"/>
            <w:gridSpan w:val="3"/>
            <w:shd w:val="clear" w:color="auto" w:fill="auto"/>
          </w:tcPr>
          <w:p w14:paraId="493E12F9" w14:textId="22337CAC" w:rsidR="00896095" w:rsidRPr="00EE5A46" w:rsidRDefault="00896095" w:rsidP="00E9123D">
            <w:pPr>
              <w:spacing w:line="360" w:lineRule="auto"/>
              <w:jc w:val="both"/>
              <w:rPr>
                <w:rFonts w:ascii="Times New Roman" w:hAnsi="Times New Roman" w:cs="Times New Roman"/>
                <w:color w:val="000000" w:themeColor="text1"/>
                <w:lang w:val="en-US"/>
              </w:rPr>
            </w:pPr>
            <w:r w:rsidRPr="00EE5A46">
              <w:rPr>
                <w:rFonts w:ascii="Times New Roman" w:hAnsi="Times New Roman" w:cs="Times New Roman"/>
                <w:color w:val="000000" w:themeColor="text1"/>
                <w:lang w:val="en-US"/>
              </w:rPr>
              <w:t>4 June 2025</w:t>
            </w:r>
          </w:p>
        </w:tc>
      </w:tr>
      <w:tr w:rsidR="00896095" w:rsidRPr="00EE5A46" w14:paraId="53AC0CBA" w14:textId="77777777" w:rsidTr="00911F8F">
        <w:tc>
          <w:tcPr>
            <w:tcW w:w="2689" w:type="dxa"/>
            <w:shd w:val="clear" w:color="auto" w:fill="auto"/>
          </w:tcPr>
          <w:p w14:paraId="38227613" w14:textId="31E45678" w:rsidR="00896095" w:rsidRPr="00EE5A46" w:rsidRDefault="00896095"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Acquirer</w:t>
            </w:r>
          </w:p>
        </w:tc>
        <w:tc>
          <w:tcPr>
            <w:tcW w:w="6327" w:type="dxa"/>
            <w:gridSpan w:val="3"/>
            <w:shd w:val="clear" w:color="auto" w:fill="auto"/>
          </w:tcPr>
          <w:p w14:paraId="1D1898D6" w14:textId="490F7B1C" w:rsidR="00896095" w:rsidRPr="00EE5A46" w:rsidRDefault="00896095" w:rsidP="00E9123D">
            <w:pPr>
              <w:spacing w:line="360" w:lineRule="auto"/>
              <w:jc w:val="both"/>
              <w:rPr>
                <w:rFonts w:ascii="Times New Roman" w:hAnsi="Times New Roman" w:cs="Times New Roman"/>
                <w:color w:val="000000" w:themeColor="text1"/>
                <w:lang w:val="en-US"/>
              </w:rPr>
            </w:pPr>
            <w:r w:rsidRPr="00EE5A46">
              <w:rPr>
                <w:rFonts w:ascii="Times New Roman" w:hAnsi="Times New Roman" w:cs="Times New Roman"/>
                <w:color w:val="000000" w:themeColor="text1"/>
                <w:lang w:val="en-US"/>
              </w:rPr>
              <w:t>Africa Steel (Pvt) Ltd</w:t>
            </w:r>
          </w:p>
        </w:tc>
      </w:tr>
      <w:tr w:rsidR="00896095" w:rsidRPr="00EE5A46" w14:paraId="2E5189E5" w14:textId="77777777" w:rsidTr="00911F8F">
        <w:tc>
          <w:tcPr>
            <w:tcW w:w="2689" w:type="dxa"/>
            <w:shd w:val="clear" w:color="auto" w:fill="auto"/>
          </w:tcPr>
          <w:p w14:paraId="160EEF62" w14:textId="443500FE" w:rsidR="00896095" w:rsidRPr="00EE5A46" w:rsidRDefault="00896095"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Target</w:t>
            </w:r>
          </w:p>
        </w:tc>
        <w:tc>
          <w:tcPr>
            <w:tcW w:w="6327" w:type="dxa"/>
            <w:gridSpan w:val="3"/>
            <w:shd w:val="clear" w:color="auto" w:fill="auto"/>
          </w:tcPr>
          <w:p w14:paraId="56023900" w14:textId="5D4802CE" w:rsidR="00896095" w:rsidRPr="00EE5A46" w:rsidRDefault="00896095" w:rsidP="00E9123D">
            <w:pPr>
              <w:spacing w:line="360" w:lineRule="auto"/>
              <w:jc w:val="both"/>
              <w:rPr>
                <w:rFonts w:ascii="Times New Roman" w:hAnsi="Times New Roman" w:cs="Times New Roman"/>
                <w:color w:val="000000" w:themeColor="text1"/>
                <w:lang w:val="en-US"/>
              </w:rPr>
            </w:pPr>
            <w:r w:rsidRPr="00EE5A46">
              <w:rPr>
                <w:rFonts w:ascii="Times New Roman" w:hAnsi="Times New Roman" w:cs="Times New Roman"/>
                <w:color w:val="000000" w:themeColor="text1"/>
                <w:lang w:val="en-US"/>
              </w:rPr>
              <w:t>Propak (Pvt) Ltd</w:t>
            </w:r>
          </w:p>
        </w:tc>
      </w:tr>
      <w:tr w:rsidR="00BE07AB" w:rsidRPr="00EE5A46" w14:paraId="7B83A656" w14:textId="77777777" w:rsidTr="008F23DC">
        <w:tc>
          <w:tcPr>
            <w:tcW w:w="9016" w:type="dxa"/>
            <w:gridSpan w:val="4"/>
            <w:shd w:val="clear" w:color="auto" w:fill="auto"/>
          </w:tcPr>
          <w:p w14:paraId="472EB02D" w14:textId="77777777" w:rsidR="00BE07AB" w:rsidRPr="00EE5A46" w:rsidRDefault="00BE07AB"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Merger Details</w:t>
            </w:r>
          </w:p>
          <w:p w14:paraId="618662A8" w14:textId="3AA2EDA7" w:rsidR="00BE07AB" w:rsidRPr="00EE5A46" w:rsidRDefault="00D567CE" w:rsidP="004B064F">
            <w:pPr>
              <w:spacing w:after="240" w:line="360" w:lineRule="auto"/>
              <w:jc w:val="both"/>
              <w:rPr>
                <w:rFonts w:ascii="Times New Roman" w:eastAsia="Times New Roman" w:hAnsi="Times New Roman" w:cs="Times New Roman"/>
                <w:color w:val="000000" w:themeColor="text1"/>
              </w:rPr>
            </w:pPr>
            <w:r w:rsidRPr="00EE5A46">
              <w:rPr>
                <w:rFonts w:ascii="Times New Roman" w:eastAsia="Times New Roman" w:hAnsi="Times New Roman" w:cs="Times New Roman"/>
                <w:color w:val="000000" w:themeColor="text1"/>
              </w:rPr>
              <w:t>The transaction entails the proposed acquisition of land and buildings of Propak (Pvt) Ltd (“</w:t>
            </w:r>
            <w:r w:rsidRPr="00EE5A46">
              <w:rPr>
                <w:rFonts w:ascii="Times New Roman" w:eastAsia="Times New Roman" w:hAnsi="Times New Roman" w:cs="Times New Roman"/>
                <w:b/>
                <w:bCs/>
                <w:i/>
                <w:iCs/>
                <w:color w:val="000000" w:themeColor="text1"/>
              </w:rPr>
              <w:t>Propak</w:t>
            </w:r>
            <w:r w:rsidRPr="00EE5A46">
              <w:rPr>
                <w:rFonts w:ascii="Times New Roman" w:eastAsia="Times New Roman" w:hAnsi="Times New Roman" w:cs="Times New Roman"/>
                <w:color w:val="000000" w:themeColor="text1"/>
              </w:rPr>
              <w:t>”) by Africa Steel (Pvt) Ltd (“</w:t>
            </w:r>
            <w:r w:rsidRPr="00EE5A46">
              <w:rPr>
                <w:rFonts w:ascii="Times New Roman" w:eastAsia="Times New Roman" w:hAnsi="Times New Roman" w:cs="Times New Roman"/>
                <w:b/>
                <w:bCs/>
                <w:i/>
                <w:iCs/>
                <w:color w:val="000000" w:themeColor="text1"/>
              </w:rPr>
              <w:t>Africa Steel</w:t>
            </w:r>
            <w:r w:rsidRPr="00EE5A46">
              <w:rPr>
                <w:rFonts w:ascii="Times New Roman" w:eastAsia="Times New Roman" w:hAnsi="Times New Roman" w:cs="Times New Roman"/>
                <w:color w:val="000000" w:themeColor="text1"/>
              </w:rPr>
              <w:t>”).  Africa Steel is a steel manufacturing and retail company duly incorporated in Zimbabwe</w:t>
            </w:r>
            <w:r w:rsidR="00CD0010" w:rsidRPr="00EE5A46">
              <w:rPr>
                <w:rFonts w:ascii="Times New Roman" w:eastAsia="Times New Roman" w:hAnsi="Times New Roman" w:cs="Times New Roman"/>
                <w:color w:val="000000" w:themeColor="text1"/>
              </w:rPr>
              <w:t xml:space="preserve">. </w:t>
            </w:r>
            <w:r w:rsidRPr="00EE5A46">
              <w:rPr>
                <w:rFonts w:ascii="Times New Roman" w:eastAsia="Times New Roman" w:hAnsi="Times New Roman" w:cs="Times New Roman"/>
                <w:color w:val="000000" w:themeColor="text1"/>
              </w:rPr>
              <w:t>Propak is a subsidiary of TSL Limited ("</w:t>
            </w:r>
            <w:r w:rsidRPr="00EE5A46">
              <w:rPr>
                <w:rFonts w:ascii="Times New Roman" w:eastAsia="Times New Roman" w:hAnsi="Times New Roman" w:cs="Times New Roman"/>
                <w:b/>
                <w:bCs/>
                <w:i/>
                <w:iCs/>
                <w:color w:val="000000" w:themeColor="text1"/>
              </w:rPr>
              <w:t>TSL</w:t>
            </w:r>
            <w:r w:rsidRPr="00EE5A46">
              <w:rPr>
                <w:rFonts w:ascii="Times New Roman" w:eastAsia="Times New Roman" w:hAnsi="Times New Roman" w:cs="Times New Roman"/>
                <w:color w:val="000000" w:themeColor="text1"/>
              </w:rPr>
              <w:t>"), a company with diverse interests across various industries. TSL has a presence in the tobacco and agri-inputs sectors, with multiple companies involved at different stages of the value chain. Further, TSL has interests in logistics and real estate. Propak is a property holding company established to hold a single property, consisting of land and buildings situated at Stand 6396A, Salisbury Township (Nuffield Road, Workington), measuring 8,154 square meters. Propak's sole asset is this property.</w:t>
            </w:r>
          </w:p>
        </w:tc>
      </w:tr>
      <w:tr w:rsidR="00B24493" w:rsidRPr="00EE5A46" w14:paraId="70C9C812" w14:textId="77777777" w:rsidTr="00611263">
        <w:tc>
          <w:tcPr>
            <w:tcW w:w="2689" w:type="dxa"/>
            <w:shd w:val="clear" w:color="auto" w:fill="auto"/>
          </w:tcPr>
          <w:p w14:paraId="5452ECE3" w14:textId="49721258" w:rsidR="00B24493" w:rsidRPr="00EE5A46" w:rsidRDefault="00B24493"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lastRenderedPageBreak/>
              <w:t>Relevant Market</w:t>
            </w:r>
          </w:p>
        </w:tc>
        <w:tc>
          <w:tcPr>
            <w:tcW w:w="6327" w:type="dxa"/>
            <w:gridSpan w:val="3"/>
            <w:shd w:val="clear" w:color="auto" w:fill="auto"/>
          </w:tcPr>
          <w:p w14:paraId="7657CF9B" w14:textId="77777777" w:rsidR="00C7453F" w:rsidRPr="00EE5A46" w:rsidRDefault="00C7453F" w:rsidP="00E9123D">
            <w:pPr>
              <w:spacing w:line="360" w:lineRule="auto"/>
              <w:jc w:val="both"/>
              <w:rPr>
                <w:rFonts w:ascii="Times New Roman" w:hAnsi="Times New Roman" w:cs="Times New Roman"/>
                <w:i/>
                <w:iCs/>
                <w:color w:val="000000" w:themeColor="text1"/>
                <w:lang w:val="en-US"/>
              </w:rPr>
            </w:pPr>
            <w:r w:rsidRPr="00EE5A46">
              <w:rPr>
                <w:rFonts w:ascii="Times New Roman" w:hAnsi="Times New Roman" w:cs="Times New Roman"/>
                <w:i/>
                <w:iCs/>
                <w:color w:val="000000" w:themeColor="text1"/>
                <w:lang w:val="en-US"/>
              </w:rPr>
              <w:t>(i)</w:t>
            </w:r>
            <w:r w:rsidRPr="00EE5A46">
              <w:rPr>
                <w:rFonts w:ascii="Times New Roman" w:hAnsi="Times New Roman" w:cs="Times New Roman"/>
                <w:color w:val="000000" w:themeColor="text1"/>
                <w:lang w:val="en-US"/>
              </w:rPr>
              <w:t xml:space="preserve"> </w:t>
            </w:r>
            <w:r w:rsidRPr="00EE5A46">
              <w:rPr>
                <w:rFonts w:ascii="Times New Roman" w:hAnsi="Times New Roman" w:cs="Times New Roman"/>
                <w:i/>
                <w:iCs/>
                <w:color w:val="000000" w:themeColor="text1"/>
                <w:lang w:val="en-US"/>
              </w:rPr>
              <w:t xml:space="preserve">the leasing of industrial property in Harare; and </w:t>
            </w:r>
          </w:p>
          <w:p w14:paraId="67F9AF5F" w14:textId="0188C0C4" w:rsidR="00B24493" w:rsidRPr="00EE5A46" w:rsidRDefault="00C7453F" w:rsidP="00E9123D">
            <w:pPr>
              <w:spacing w:line="360" w:lineRule="auto"/>
              <w:jc w:val="both"/>
              <w:rPr>
                <w:rFonts w:ascii="Times New Roman" w:eastAsia="Calibri" w:hAnsi="Times New Roman" w:cs="Times New Roman"/>
                <w:b/>
                <w:bCs/>
                <w:color w:val="000000" w:themeColor="text1"/>
              </w:rPr>
            </w:pPr>
            <w:r w:rsidRPr="00EE5A46">
              <w:rPr>
                <w:rFonts w:ascii="Times New Roman" w:hAnsi="Times New Roman" w:cs="Times New Roman"/>
                <w:i/>
                <w:iCs/>
                <w:color w:val="000000" w:themeColor="text1"/>
                <w:lang w:val="en-US"/>
              </w:rPr>
              <w:t>(ii) the supply of steel products in Zimbabwe.</w:t>
            </w:r>
          </w:p>
        </w:tc>
      </w:tr>
      <w:tr w:rsidR="00AA5B2F" w:rsidRPr="00EE5A46" w14:paraId="4025D227" w14:textId="77777777" w:rsidTr="00611263">
        <w:tc>
          <w:tcPr>
            <w:tcW w:w="2689" w:type="dxa"/>
            <w:shd w:val="clear" w:color="auto" w:fill="auto"/>
          </w:tcPr>
          <w:p w14:paraId="0798A7E6" w14:textId="0318B428" w:rsidR="00AA5B2F" w:rsidRPr="00EE5A46" w:rsidRDefault="00AA5B2F"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 xml:space="preserve">Type of </w:t>
            </w:r>
            <w:r w:rsidR="00611263" w:rsidRPr="00EE5A46">
              <w:rPr>
                <w:rFonts w:ascii="Times New Roman" w:eastAsia="Calibri" w:hAnsi="Times New Roman" w:cs="Times New Roman"/>
                <w:b/>
                <w:bCs/>
                <w:color w:val="000000" w:themeColor="text1"/>
              </w:rPr>
              <w:t>Merger</w:t>
            </w:r>
          </w:p>
        </w:tc>
        <w:tc>
          <w:tcPr>
            <w:tcW w:w="6327" w:type="dxa"/>
            <w:gridSpan w:val="3"/>
            <w:shd w:val="clear" w:color="auto" w:fill="auto"/>
          </w:tcPr>
          <w:p w14:paraId="066DDF8D" w14:textId="74A4E48C" w:rsidR="00AA5B2F" w:rsidRPr="00EE5A46" w:rsidRDefault="00611263" w:rsidP="00E9123D">
            <w:pPr>
              <w:spacing w:line="360" w:lineRule="auto"/>
              <w:jc w:val="both"/>
              <w:rPr>
                <w:rFonts w:ascii="Times New Roman" w:hAnsi="Times New Roman" w:cs="Times New Roman"/>
                <w:color w:val="000000" w:themeColor="text1"/>
                <w:lang w:val="en-US"/>
              </w:rPr>
            </w:pPr>
            <w:r w:rsidRPr="00EE5A46">
              <w:rPr>
                <w:rFonts w:ascii="Times New Roman" w:hAnsi="Times New Roman" w:cs="Times New Roman"/>
                <w:color w:val="000000" w:themeColor="text1"/>
                <w:lang w:val="en-US"/>
              </w:rPr>
              <w:t xml:space="preserve">Vertical </w:t>
            </w:r>
          </w:p>
        </w:tc>
      </w:tr>
      <w:tr w:rsidR="00611263" w:rsidRPr="00EE5A46" w14:paraId="59700298" w14:textId="77777777" w:rsidTr="00611263">
        <w:tc>
          <w:tcPr>
            <w:tcW w:w="2689" w:type="dxa"/>
            <w:shd w:val="clear" w:color="auto" w:fill="auto"/>
          </w:tcPr>
          <w:p w14:paraId="6C4CD767" w14:textId="35EE9ACE" w:rsidR="00611263" w:rsidRPr="00EE5A46" w:rsidRDefault="00611263" w:rsidP="00E9123D">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Commission’s Decision</w:t>
            </w:r>
          </w:p>
        </w:tc>
        <w:tc>
          <w:tcPr>
            <w:tcW w:w="6327" w:type="dxa"/>
            <w:gridSpan w:val="3"/>
            <w:shd w:val="clear" w:color="auto" w:fill="auto"/>
          </w:tcPr>
          <w:p w14:paraId="5AF08D77" w14:textId="6EC9C934" w:rsidR="00611263" w:rsidRPr="00EE5A46" w:rsidRDefault="00304D43" w:rsidP="00E9123D">
            <w:pPr>
              <w:spacing w:line="360" w:lineRule="auto"/>
              <w:jc w:val="both"/>
              <w:rPr>
                <w:rFonts w:ascii="Times New Roman" w:hAnsi="Times New Roman" w:cs="Times New Roman"/>
                <w:color w:val="000000" w:themeColor="text1"/>
                <w:lang w:val="en-US"/>
              </w:rPr>
            </w:pPr>
            <w:r w:rsidRPr="00EE5A46">
              <w:rPr>
                <w:rFonts w:ascii="Times New Roman" w:hAnsi="Times New Roman" w:cs="Times New Roman"/>
                <w:color w:val="000000" w:themeColor="text1"/>
                <w:lang w:val="en-US"/>
              </w:rPr>
              <w:t>The merger was approved without conditions</w:t>
            </w:r>
          </w:p>
        </w:tc>
      </w:tr>
      <w:tr w:rsidR="003175AA" w:rsidRPr="00EE5A46" w14:paraId="5DB1493A" w14:textId="77777777" w:rsidTr="0080282E">
        <w:tc>
          <w:tcPr>
            <w:tcW w:w="9016" w:type="dxa"/>
            <w:gridSpan w:val="4"/>
            <w:shd w:val="clear" w:color="auto" w:fill="auto"/>
          </w:tcPr>
          <w:p w14:paraId="6CE30E87" w14:textId="77777777" w:rsidR="003175AA" w:rsidRPr="00EE5A46" w:rsidRDefault="003175AA" w:rsidP="00E9123D">
            <w:pPr>
              <w:spacing w:line="360" w:lineRule="auto"/>
              <w:jc w:val="both"/>
              <w:rPr>
                <w:rFonts w:ascii="Times New Roman" w:hAnsi="Times New Roman" w:cs="Times New Roman"/>
                <w:color w:val="000000" w:themeColor="text1"/>
                <w:lang w:val="en-US"/>
              </w:rPr>
            </w:pPr>
          </w:p>
        </w:tc>
      </w:tr>
      <w:tr w:rsidR="008A01BA" w:rsidRPr="00EE5A46" w14:paraId="359BDA24" w14:textId="77777777" w:rsidTr="008A01BA">
        <w:tc>
          <w:tcPr>
            <w:tcW w:w="2689" w:type="dxa"/>
            <w:shd w:val="clear" w:color="auto" w:fill="8DD873" w:themeFill="accent6" w:themeFillTint="99"/>
          </w:tcPr>
          <w:p w14:paraId="26F9BA2D" w14:textId="22581008" w:rsidR="008A01BA" w:rsidRPr="00EE5A46" w:rsidRDefault="008A01BA" w:rsidP="008A01BA">
            <w:pPr>
              <w:spacing w:line="360" w:lineRule="auto"/>
              <w:jc w:val="both"/>
              <w:rPr>
                <w:rFonts w:ascii="Times New Roman" w:hAnsi="Times New Roman" w:cs="Times New Roman"/>
                <w:color w:val="000000" w:themeColor="text1"/>
                <w:lang w:val="en-US"/>
              </w:rPr>
            </w:pPr>
            <w:r w:rsidRPr="00EE5A46">
              <w:rPr>
                <w:rFonts w:ascii="Times New Roman" w:eastAsia="Calibri" w:hAnsi="Times New Roman" w:cs="Times New Roman"/>
                <w:b/>
                <w:bCs/>
                <w:color w:val="000000" w:themeColor="text1"/>
              </w:rPr>
              <w:t>Reference Number</w:t>
            </w:r>
          </w:p>
        </w:tc>
        <w:tc>
          <w:tcPr>
            <w:tcW w:w="6327" w:type="dxa"/>
            <w:gridSpan w:val="3"/>
            <w:shd w:val="clear" w:color="auto" w:fill="8DD873" w:themeFill="accent6" w:themeFillTint="99"/>
          </w:tcPr>
          <w:p w14:paraId="21041B66" w14:textId="49031B84" w:rsidR="008A01BA" w:rsidRPr="00EE5A46" w:rsidRDefault="008A01BA" w:rsidP="008A01BA">
            <w:pPr>
              <w:spacing w:line="360" w:lineRule="auto"/>
              <w:jc w:val="both"/>
              <w:rPr>
                <w:rFonts w:ascii="Times New Roman" w:hAnsi="Times New Roman" w:cs="Times New Roman"/>
                <w:color w:val="000000" w:themeColor="text1"/>
                <w:lang w:val="en-US"/>
              </w:rPr>
            </w:pPr>
            <w:r w:rsidRPr="00EE5A46">
              <w:rPr>
                <w:rFonts w:ascii="Times New Roman" w:eastAsia="Calibri" w:hAnsi="Times New Roman" w:cs="Times New Roman"/>
                <w:bCs/>
                <w:kern w:val="0"/>
                <w14:ligatures w14:val="none"/>
              </w:rPr>
              <w:t>C</w:t>
            </w:r>
            <w:r w:rsidRPr="00EE5A46">
              <w:rPr>
                <w:rFonts w:ascii="Times New Roman" w:eastAsia="Calibri" w:hAnsi="Times New Roman" w:cs="Times New Roman"/>
                <w:kern w:val="0"/>
                <w14:ligatures w14:val="none"/>
              </w:rPr>
              <w:t>TC/Tech/Mergers/2025/1</w:t>
            </w:r>
            <w:r w:rsidR="00741944" w:rsidRPr="00EE5A46">
              <w:rPr>
                <w:rFonts w:ascii="Times New Roman" w:eastAsia="Calibri" w:hAnsi="Times New Roman" w:cs="Times New Roman"/>
                <w:kern w:val="0"/>
                <w14:ligatures w14:val="none"/>
              </w:rPr>
              <w:t>6</w:t>
            </w:r>
          </w:p>
        </w:tc>
      </w:tr>
      <w:tr w:rsidR="008A01BA" w:rsidRPr="00EE5A46" w14:paraId="145C9394" w14:textId="77777777" w:rsidTr="008A01BA">
        <w:tc>
          <w:tcPr>
            <w:tcW w:w="2689" w:type="dxa"/>
            <w:shd w:val="clear" w:color="auto" w:fill="auto"/>
          </w:tcPr>
          <w:p w14:paraId="56171DC6" w14:textId="7F361555" w:rsidR="008A01BA" w:rsidRPr="00EE5A46" w:rsidRDefault="008A01BA"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Merger</w:t>
            </w:r>
          </w:p>
        </w:tc>
        <w:tc>
          <w:tcPr>
            <w:tcW w:w="6327" w:type="dxa"/>
            <w:gridSpan w:val="3"/>
            <w:shd w:val="clear" w:color="auto" w:fill="auto"/>
          </w:tcPr>
          <w:p w14:paraId="4FDE0B19" w14:textId="654423BB" w:rsidR="008A01BA" w:rsidRPr="00EE5A46" w:rsidRDefault="00FE7EDF" w:rsidP="008A01BA">
            <w:pPr>
              <w:spacing w:line="360" w:lineRule="auto"/>
              <w:jc w:val="both"/>
              <w:rPr>
                <w:rFonts w:ascii="Times New Roman" w:eastAsia="Calibri" w:hAnsi="Times New Roman" w:cs="Times New Roman"/>
                <w:bCs/>
                <w:kern w:val="0"/>
                <w14:ligatures w14:val="none"/>
              </w:rPr>
            </w:pPr>
            <w:r w:rsidRPr="00EE5A46">
              <w:rPr>
                <w:rFonts w:ascii="Times New Roman" w:hAnsi="Times New Roman" w:cs="Times New Roman"/>
                <w:color w:val="000000" w:themeColor="text1"/>
                <w:lang w:val="en-US"/>
              </w:rPr>
              <w:t xml:space="preserve">Proposed </w:t>
            </w:r>
            <w:r w:rsidRPr="00EE5A46">
              <w:rPr>
                <w:rFonts w:ascii="Times New Roman" w:hAnsi="Times New Roman" w:cs="Times New Roman"/>
                <w:color w:val="000000" w:themeColor="text1"/>
              </w:rPr>
              <w:t>acquisition by APEX Capital Partners Limited of 60.1% of the ordinary shares in DRA Global Limited.</w:t>
            </w:r>
          </w:p>
        </w:tc>
      </w:tr>
      <w:tr w:rsidR="008A01BA" w:rsidRPr="00EE5A46" w14:paraId="3076C7B5" w14:textId="77777777" w:rsidTr="008A01BA">
        <w:tc>
          <w:tcPr>
            <w:tcW w:w="2689" w:type="dxa"/>
            <w:shd w:val="clear" w:color="auto" w:fill="auto"/>
          </w:tcPr>
          <w:p w14:paraId="6C299918" w14:textId="39C7DE9B" w:rsidR="008A01BA" w:rsidRPr="00EE5A46" w:rsidRDefault="008A01BA"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Full Notification Date</w:t>
            </w:r>
          </w:p>
        </w:tc>
        <w:tc>
          <w:tcPr>
            <w:tcW w:w="6327" w:type="dxa"/>
            <w:gridSpan w:val="3"/>
            <w:shd w:val="clear" w:color="auto" w:fill="auto"/>
          </w:tcPr>
          <w:p w14:paraId="12E32E60" w14:textId="2ECD8981" w:rsidR="008A01BA" w:rsidRPr="00EE5A46" w:rsidRDefault="00723366" w:rsidP="008A01BA">
            <w:pPr>
              <w:spacing w:line="360" w:lineRule="auto"/>
              <w:jc w:val="both"/>
              <w:rPr>
                <w:rFonts w:ascii="Times New Roman" w:eastAsia="Calibri" w:hAnsi="Times New Roman" w:cs="Times New Roman"/>
                <w:bCs/>
                <w:kern w:val="0"/>
                <w14:ligatures w14:val="none"/>
              </w:rPr>
            </w:pPr>
            <w:r w:rsidRPr="00EE5A46">
              <w:rPr>
                <w:rFonts w:ascii="Times New Roman" w:eastAsia="Calibri" w:hAnsi="Times New Roman" w:cs="Times New Roman"/>
                <w:bCs/>
                <w:kern w:val="0"/>
                <w14:ligatures w14:val="none"/>
              </w:rPr>
              <w:t>7 May 2025</w:t>
            </w:r>
          </w:p>
        </w:tc>
      </w:tr>
      <w:tr w:rsidR="008A01BA" w:rsidRPr="00EE5A46" w14:paraId="2373D24A" w14:textId="77777777" w:rsidTr="008A01BA">
        <w:tc>
          <w:tcPr>
            <w:tcW w:w="2689" w:type="dxa"/>
            <w:shd w:val="clear" w:color="auto" w:fill="auto"/>
          </w:tcPr>
          <w:p w14:paraId="45183149" w14:textId="4C9DEB35" w:rsidR="008A01BA" w:rsidRPr="00EE5A46" w:rsidRDefault="008A01BA"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Acquirer</w:t>
            </w:r>
          </w:p>
        </w:tc>
        <w:tc>
          <w:tcPr>
            <w:tcW w:w="6327" w:type="dxa"/>
            <w:gridSpan w:val="3"/>
            <w:shd w:val="clear" w:color="auto" w:fill="auto"/>
          </w:tcPr>
          <w:p w14:paraId="4C278706" w14:textId="40521C19" w:rsidR="008A01BA" w:rsidRPr="00EE5A46" w:rsidRDefault="00337C7A" w:rsidP="008A01BA">
            <w:pPr>
              <w:spacing w:line="360" w:lineRule="auto"/>
              <w:jc w:val="both"/>
              <w:rPr>
                <w:rFonts w:ascii="Times New Roman" w:eastAsia="Calibri" w:hAnsi="Times New Roman" w:cs="Times New Roman"/>
                <w:bCs/>
                <w:kern w:val="0"/>
                <w14:ligatures w14:val="none"/>
              </w:rPr>
            </w:pPr>
            <w:r w:rsidRPr="00EE5A46">
              <w:rPr>
                <w:rFonts w:ascii="Times New Roman" w:eastAsia="Calibri" w:hAnsi="Times New Roman" w:cs="Times New Roman"/>
                <w:bCs/>
                <w:kern w:val="0"/>
                <w14:ligatures w14:val="none"/>
              </w:rPr>
              <w:t>Apex Partners Capital Limited</w:t>
            </w:r>
          </w:p>
        </w:tc>
      </w:tr>
      <w:tr w:rsidR="008A01BA" w:rsidRPr="00EE5A46" w14:paraId="777DCE6E" w14:textId="77777777" w:rsidTr="008A01BA">
        <w:tc>
          <w:tcPr>
            <w:tcW w:w="2689" w:type="dxa"/>
            <w:shd w:val="clear" w:color="auto" w:fill="auto"/>
          </w:tcPr>
          <w:p w14:paraId="5A2F2328" w14:textId="77214ECE" w:rsidR="008A01BA" w:rsidRPr="00EE5A46" w:rsidRDefault="00341017"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Target</w:t>
            </w:r>
          </w:p>
        </w:tc>
        <w:tc>
          <w:tcPr>
            <w:tcW w:w="6327" w:type="dxa"/>
            <w:gridSpan w:val="3"/>
            <w:shd w:val="clear" w:color="auto" w:fill="auto"/>
          </w:tcPr>
          <w:p w14:paraId="5D649A3C" w14:textId="51688354" w:rsidR="008A01BA" w:rsidRPr="00EE5A46" w:rsidRDefault="00337C7A" w:rsidP="008A01BA">
            <w:pPr>
              <w:spacing w:line="360" w:lineRule="auto"/>
              <w:jc w:val="both"/>
              <w:rPr>
                <w:rFonts w:ascii="Times New Roman" w:eastAsia="Calibri" w:hAnsi="Times New Roman" w:cs="Times New Roman"/>
                <w:bCs/>
                <w:kern w:val="0"/>
                <w14:ligatures w14:val="none"/>
              </w:rPr>
            </w:pPr>
            <w:r w:rsidRPr="00EE5A46">
              <w:rPr>
                <w:rFonts w:ascii="Times New Roman" w:eastAsia="Calibri" w:hAnsi="Times New Roman" w:cs="Times New Roman"/>
                <w:bCs/>
                <w:kern w:val="0"/>
                <w14:ligatures w14:val="none"/>
              </w:rPr>
              <w:t>DRA Global Limited</w:t>
            </w:r>
          </w:p>
        </w:tc>
      </w:tr>
      <w:tr w:rsidR="00341017" w:rsidRPr="00EE5A46" w14:paraId="3AC1C9AE" w14:textId="77777777" w:rsidTr="000D5DC8">
        <w:tc>
          <w:tcPr>
            <w:tcW w:w="9016" w:type="dxa"/>
            <w:gridSpan w:val="4"/>
            <w:shd w:val="clear" w:color="auto" w:fill="auto"/>
          </w:tcPr>
          <w:p w14:paraId="01ADA416" w14:textId="77777777" w:rsidR="00341017" w:rsidRPr="00EE5A46" w:rsidRDefault="00341017"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 xml:space="preserve">Merger Details </w:t>
            </w:r>
          </w:p>
          <w:p w14:paraId="1B738BAA" w14:textId="6B277A0A" w:rsidR="001A71B3" w:rsidRPr="00EE5A46" w:rsidRDefault="001A71B3" w:rsidP="001A71B3">
            <w:pPr>
              <w:pStyle w:val="NormalWeb"/>
              <w:spacing w:before="0" w:beforeAutospacing="0" w:after="0" w:afterAutospacing="0" w:line="360" w:lineRule="auto"/>
              <w:jc w:val="both"/>
              <w:rPr>
                <w:color w:val="000000" w:themeColor="text1"/>
              </w:rPr>
            </w:pPr>
            <w:r w:rsidRPr="00EE5A46">
              <w:rPr>
                <w:color w:val="000000" w:themeColor="text1"/>
                <w:lang w:val="en-US"/>
              </w:rPr>
              <w:t xml:space="preserve">The transaction entails the proposed </w:t>
            </w:r>
            <w:r w:rsidRPr="00EE5A46">
              <w:rPr>
                <w:color w:val="000000" w:themeColor="text1"/>
              </w:rPr>
              <w:t xml:space="preserve">acquisition by APEX Capital Partners Limited </w:t>
            </w:r>
            <w:r w:rsidRPr="00EE5A46">
              <w:rPr>
                <w:b/>
                <w:bCs/>
                <w:color w:val="000000" w:themeColor="text1"/>
              </w:rPr>
              <w:t>(“ACP”)</w:t>
            </w:r>
            <w:r w:rsidRPr="00EE5A46">
              <w:rPr>
                <w:color w:val="000000" w:themeColor="text1"/>
              </w:rPr>
              <w:t xml:space="preserve"> of 60.1% of the ordinary shares in</w:t>
            </w:r>
            <w:r w:rsidRPr="00EE5A46">
              <w:rPr>
                <w:rFonts w:eastAsiaTheme="minorHAnsi"/>
                <w:color w:val="000000" w:themeColor="text1"/>
                <w:lang w:eastAsia="en-US"/>
              </w:rPr>
              <w:t xml:space="preserve"> </w:t>
            </w:r>
            <w:r w:rsidRPr="00EE5A46">
              <w:rPr>
                <w:color w:val="000000" w:themeColor="text1"/>
              </w:rPr>
              <w:t xml:space="preserve">DRA Global Limited </w:t>
            </w:r>
            <w:r w:rsidRPr="00EE5A46">
              <w:rPr>
                <w:b/>
                <w:bCs/>
                <w:color w:val="000000" w:themeColor="text1"/>
              </w:rPr>
              <w:t>(“DRA Global”)</w:t>
            </w:r>
            <w:r w:rsidRPr="00EE5A46">
              <w:rPr>
                <w:color w:val="000000" w:themeColor="text1"/>
              </w:rPr>
              <w:t>.</w:t>
            </w:r>
            <w:r w:rsidRPr="00EE5A46">
              <w:rPr>
                <w:i/>
                <w:iCs/>
                <w:color w:val="000000" w:themeColor="text1"/>
              </w:rPr>
              <w:t xml:space="preserve"> </w:t>
            </w:r>
            <w:r w:rsidRPr="00EE5A46">
              <w:rPr>
                <w:color w:val="000000" w:themeColor="text1"/>
              </w:rPr>
              <w:t xml:space="preserve"> ACP is a South African registered company which supplies mining pumps, ground engaging equipment such as drilling and paving equipment, earth moving equipment, and other mining, construction and quarrying equipment and spare parts for the same equipment in Zimbabwe. DRA Global is a incorporated in terms of Australian company law. It provides engineering services and engineering procurement and construction management services in Zimbabwe.</w:t>
            </w:r>
          </w:p>
        </w:tc>
      </w:tr>
      <w:tr w:rsidR="000F7F31" w:rsidRPr="00EE5A46" w14:paraId="5FF27A85" w14:textId="77777777" w:rsidTr="000F7F31">
        <w:tc>
          <w:tcPr>
            <w:tcW w:w="2689" w:type="dxa"/>
            <w:shd w:val="clear" w:color="auto" w:fill="auto"/>
          </w:tcPr>
          <w:p w14:paraId="2745DE02" w14:textId="0976A687" w:rsidR="000F7F31" w:rsidRPr="00EE5A46" w:rsidRDefault="000F7F31"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Relevant Market</w:t>
            </w:r>
          </w:p>
        </w:tc>
        <w:tc>
          <w:tcPr>
            <w:tcW w:w="6327" w:type="dxa"/>
            <w:gridSpan w:val="3"/>
            <w:shd w:val="clear" w:color="auto" w:fill="auto"/>
          </w:tcPr>
          <w:p w14:paraId="54BFB30F" w14:textId="54ED69A9" w:rsidR="00B412FC" w:rsidRPr="00EE5A46" w:rsidRDefault="00B412FC" w:rsidP="00B412FC">
            <w:pPr>
              <w:pStyle w:val="NormalWeb"/>
              <w:spacing w:before="0" w:beforeAutospacing="0" w:after="0" w:afterAutospacing="0" w:line="360" w:lineRule="auto"/>
              <w:jc w:val="both"/>
              <w:rPr>
                <w:rFonts w:eastAsia="Calibri"/>
                <w:i/>
                <w:iCs/>
                <w:color w:val="000000" w:themeColor="text1"/>
              </w:rPr>
            </w:pPr>
            <w:r w:rsidRPr="00EE5A46">
              <w:rPr>
                <w:rFonts w:eastAsia="Calibri"/>
                <w:i/>
                <w:iCs/>
                <w:color w:val="000000" w:themeColor="text1"/>
              </w:rPr>
              <w:t>(i) the supply of mining, construction and quarrying equipment and spare parts; and</w:t>
            </w:r>
          </w:p>
          <w:p w14:paraId="37B61939" w14:textId="720A42A7" w:rsidR="000F7F31" w:rsidRPr="00EE5A46" w:rsidRDefault="00B412FC" w:rsidP="00E227E0">
            <w:pPr>
              <w:pStyle w:val="NormalWeb"/>
              <w:spacing w:before="0" w:beforeAutospacing="0" w:after="0" w:afterAutospacing="0" w:line="360" w:lineRule="auto"/>
              <w:jc w:val="both"/>
              <w:rPr>
                <w:color w:val="000000" w:themeColor="text1"/>
                <w:sz w:val="28"/>
                <w:szCs w:val="28"/>
              </w:rPr>
            </w:pPr>
            <w:r w:rsidRPr="00EE5A46">
              <w:rPr>
                <w:rFonts w:eastAsia="Calibri"/>
                <w:i/>
                <w:iCs/>
                <w:color w:val="000000" w:themeColor="text1"/>
              </w:rPr>
              <w:t xml:space="preserve"> (ii) the provision of mine designing and construction, scheduling, exploration and project implementation and management services (EPCM and EPC services) in the whole of Zimbabwe.</w:t>
            </w:r>
          </w:p>
        </w:tc>
      </w:tr>
      <w:tr w:rsidR="007062E7" w:rsidRPr="00EE5A46" w14:paraId="3F230D9C" w14:textId="77777777" w:rsidTr="000F7F31">
        <w:tc>
          <w:tcPr>
            <w:tcW w:w="2689" w:type="dxa"/>
            <w:shd w:val="clear" w:color="auto" w:fill="auto"/>
          </w:tcPr>
          <w:p w14:paraId="506E1A46" w14:textId="586831EE" w:rsidR="007062E7" w:rsidRPr="00EE5A46" w:rsidRDefault="00E768BD"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Type of Merger</w:t>
            </w:r>
          </w:p>
        </w:tc>
        <w:tc>
          <w:tcPr>
            <w:tcW w:w="6327" w:type="dxa"/>
            <w:gridSpan w:val="3"/>
            <w:shd w:val="clear" w:color="auto" w:fill="auto"/>
          </w:tcPr>
          <w:p w14:paraId="2AF2C958" w14:textId="7767400B" w:rsidR="007062E7" w:rsidRPr="00EE5A46" w:rsidRDefault="00E768BD" w:rsidP="00B412FC">
            <w:pPr>
              <w:pStyle w:val="NormalWeb"/>
              <w:spacing w:before="0" w:beforeAutospacing="0" w:after="0" w:afterAutospacing="0" w:line="360" w:lineRule="auto"/>
              <w:jc w:val="both"/>
              <w:rPr>
                <w:rFonts w:eastAsia="Calibri"/>
                <w:color w:val="000000" w:themeColor="text1"/>
              </w:rPr>
            </w:pPr>
            <w:r w:rsidRPr="00EE5A46">
              <w:rPr>
                <w:rFonts w:eastAsia="Calibri"/>
                <w:color w:val="000000" w:themeColor="text1"/>
              </w:rPr>
              <w:t>Conglomerate</w:t>
            </w:r>
          </w:p>
        </w:tc>
      </w:tr>
      <w:tr w:rsidR="00E768BD" w:rsidRPr="00EE5A46" w14:paraId="5FA33006" w14:textId="77777777" w:rsidTr="000F7F31">
        <w:tc>
          <w:tcPr>
            <w:tcW w:w="2689" w:type="dxa"/>
            <w:shd w:val="clear" w:color="auto" w:fill="auto"/>
          </w:tcPr>
          <w:p w14:paraId="354FFC74" w14:textId="58013E72" w:rsidR="00E768BD" w:rsidRPr="00EE5A46" w:rsidRDefault="003B3312" w:rsidP="008A01BA">
            <w:pPr>
              <w:spacing w:line="360" w:lineRule="auto"/>
              <w:jc w:val="both"/>
              <w:rPr>
                <w:rFonts w:ascii="Times New Roman" w:eastAsia="Calibri" w:hAnsi="Times New Roman" w:cs="Times New Roman"/>
                <w:b/>
                <w:bCs/>
                <w:color w:val="000000" w:themeColor="text1"/>
              </w:rPr>
            </w:pPr>
            <w:r w:rsidRPr="00EE5A46">
              <w:rPr>
                <w:rFonts w:ascii="Times New Roman" w:eastAsia="Calibri" w:hAnsi="Times New Roman" w:cs="Times New Roman"/>
                <w:b/>
                <w:bCs/>
                <w:color w:val="000000" w:themeColor="text1"/>
              </w:rPr>
              <w:t>Commission’s Decision</w:t>
            </w:r>
          </w:p>
        </w:tc>
        <w:tc>
          <w:tcPr>
            <w:tcW w:w="6327" w:type="dxa"/>
            <w:gridSpan w:val="3"/>
            <w:shd w:val="clear" w:color="auto" w:fill="auto"/>
          </w:tcPr>
          <w:p w14:paraId="5894CDAC" w14:textId="1B7B3993" w:rsidR="00E768BD" w:rsidRPr="00EE5A46" w:rsidRDefault="003B3312" w:rsidP="00B412FC">
            <w:pPr>
              <w:pStyle w:val="NormalWeb"/>
              <w:spacing w:before="0" w:beforeAutospacing="0" w:after="0" w:afterAutospacing="0" w:line="360" w:lineRule="auto"/>
              <w:jc w:val="both"/>
              <w:rPr>
                <w:rFonts w:eastAsia="Calibri"/>
                <w:color w:val="000000" w:themeColor="text1"/>
              </w:rPr>
            </w:pPr>
            <w:r w:rsidRPr="00EE5A46">
              <w:rPr>
                <w:rFonts w:eastAsia="Calibri"/>
                <w:color w:val="000000" w:themeColor="text1"/>
              </w:rPr>
              <w:t>The merger was approved without conditions</w:t>
            </w:r>
          </w:p>
        </w:tc>
      </w:tr>
      <w:tr w:rsidR="00F06DE7" w:rsidRPr="00EE5A46" w14:paraId="4C0BB6A7" w14:textId="77777777" w:rsidTr="00B2443B">
        <w:tc>
          <w:tcPr>
            <w:tcW w:w="9016" w:type="dxa"/>
            <w:gridSpan w:val="4"/>
            <w:shd w:val="clear" w:color="auto" w:fill="auto"/>
          </w:tcPr>
          <w:p w14:paraId="1DF7F200" w14:textId="77777777" w:rsidR="00F06DE7" w:rsidRPr="00EE5A46" w:rsidRDefault="00F06DE7" w:rsidP="00B412FC">
            <w:pPr>
              <w:pStyle w:val="NormalWeb"/>
              <w:spacing w:before="0" w:beforeAutospacing="0" w:after="0" w:afterAutospacing="0" w:line="360" w:lineRule="auto"/>
              <w:jc w:val="both"/>
              <w:rPr>
                <w:rFonts w:eastAsia="Calibri"/>
                <w:color w:val="000000" w:themeColor="text1"/>
              </w:rPr>
            </w:pPr>
          </w:p>
        </w:tc>
      </w:tr>
      <w:tr w:rsidR="00FB33B3" w:rsidRPr="00EE5A46" w14:paraId="1234857D" w14:textId="77777777" w:rsidTr="00FB33B3">
        <w:tc>
          <w:tcPr>
            <w:tcW w:w="2689" w:type="dxa"/>
            <w:shd w:val="clear" w:color="auto" w:fill="8DD873" w:themeFill="accent6" w:themeFillTint="99"/>
          </w:tcPr>
          <w:p w14:paraId="6BC065A4" w14:textId="77ACB6D1" w:rsidR="00FB33B3" w:rsidRPr="00EE5A46" w:rsidRDefault="00FB33B3" w:rsidP="00FB33B3">
            <w:pPr>
              <w:pStyle w:val="NormalWeb"/>
              <w:spacing w:before="0" w:beforeAutospacing="0" w:after="0" w:afterAutospacing="0" w:line="360" w:lineRule="auto"/>
              <w:jc w:val="both"/>
              <w:rPr>
                <w:rFonts w:eastAsia="Calibri"/>
                <w:color w:val="000000" w:themeColor="text1"/>
              </w:rPr>
            </w:pPr>
            <w:r w:rsidRPr="00EE5A46">
              <w:rPr>
                <w:rFonts w:eastAsia="Calibri"/>
                <w:b/>
                <w:bCs/>
                <w:color w:val="000000" w:themeColor="text1"/>
              </w:rPr>
              <w:t>Reference Number</w:t>
            </w:r>
          </w:p>
        </w:tc>
        <w:tc>
          <w:tcPr>
            <w:tcW w:w="6327" w:type="dxa"/>
            <w:gridSpan w:val="3"/>
            <w:shd w:val="clear" w:color="auto" w:fill="8DD873" w:themeFill="accent6" w:themeFillTint="99"/>
          </w:tcPr>
          <w:p w14:paraId="249C1092" w14:textId="7700071C" w:rsidR="00FB33B3" w:rsidRPr="00EE5A46" w:rsidRDefault="00FB33B3" w:rsidP="00FB33B3">
            <w:pPr>
              <w:pStyle w:val="NormalWeb"/>
              <w:spacing w:before="0" w:beforeAutospacing="0" w:after="0" w:afterAutospacing="0" w:line="360" w:lineRule="auto"/>
              <w:jc w:val="both"/>
              <w:rPr>
                <w:rFonts w:eastAsia="Calibri"/>
                <w:color w:val="000000" w:themeColor="text1"/>
              </w:rPr>
            </w:pPr>
            <w:r w:rsidRPr="00EE5A46">
              <w:rPr>
                <w:rFonts w:eastAsia="Calibri"/>
                <w:bCs/>
              </w:rPr>
              <w:t>C</w:t>
            </w:r>
            <w:r w:rsidRPr="00EE5A46">
              <w:rPr>
                <w:rFonts w:eastAsia="Calibri"/>
              </w:rPr>
              <w:t>TC/Tech/Mergers/2025/</w:t>
            </w:r>
            <w:r w:rsidR="004E14A4">
              <w:rPr>
                <w:rFonts w:eastAsia="Calibri"/>
              </w:rPr>
              <w:t>01</w:t>
            </w:r>
          </w:p>
        </w:tc>
      </w:tr>
      <w:tr w:rsidR="00FB33B3" w:rsidRPr="00EE5A46" w14:paraId="102B4145" w14:textId="77777777" w:rsidTr="00F06DE7">
        <w:tc>
          <w:tcPr>
            <w:tcW w:w="2689" w:type="dxa"/>
            <w:shd w:val="clear" w:color="auto" w:fill="auto"/>
          </w:tcPr>
          <w:p w14:paraId="0C601729" w14:textId="3659D243" w:rsidR="00FB33B3" w:rsidRPr="00EE5A46" w:rsidRDefault="00FB33B3"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t>Merger</w:t>
            </w:r>
          </w:p>
        </w:tc>
        <w:tc>
          <w:tcPr>
            <w:tcW w:w="6327" w:type="dxa"/>
            <w:gridSpan w:val="3"/>
            <w:shd w:val="clear" w:color="auto" w:fill="auto"/>
          </w:tcPr>
          <w:p w14:paraId="5D653EE8" w14:textId="5457BD56" w:rsidR="00FB33B3" w:rsidRPr="00EE5A46" w:rsidRDefault="00B75FDA" w:rsidP="00FB33B3">
            <w:pPr>
              <w:pStyle w:val="NormalWeb"/>
              <w:spacing w:before="0" w:beforeAutospacing="0" w:after="0" w:afterAutospacing="0" w:line="360" w:lineRule="auto"/>
              <w:jc w:val="both"/>
              <w:rPr>
                <w:rFonts w:eastAsia="Calibri"/>
                <w:bCs/>
              </w:rPr>
            </w:pPr>
            <w:r w:rsidRPr="00EE5A46">
              <w:rPr>
                <w:color w:val="000000" w:themeColor="text1"/>
              </w:rPr>
              <w:t xml:space="preserve">Proposed indirect acquisition of the entire issued share capital in Montclair (Private) Limited by Rainbow Tourism Group </w:t>
            </w:r>
          </w:p>
        </w:tc>
      </w:tr>
      <w:tr w:rsidR="00FB33B3" w:rsidRPr="00EE5A46" w14:paraId="454F35CD" w14:textId="77777777" w:rsidTr="00F06DE7">
        <w:tc>
          <w:tcPr>
            <w:tcW w:w="2689" w:type="dxa"/>
            <w:shd w:val="clear" w:color="auto" w:fill="auto"/>
          </w:tcPr>
          <w:p w14:paraId="1CC0D547" w14:textId="05F5B107" w:rsidR="00FB33B3" w:rsidRPr="00EE5A46" w:rsidRDefault="00FB33B3"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t>Full Notification</w:t>
            </w:r>
          </w:p>
        </w:tc>
        <w:tc>
          <w:tcPr>
            <w:tcW w:w="6327" w:type="dxa"/>
            <w:gridSpan w:val="3"/>
            <w:shd w:val="clear" w:color="auto" w:fill="auto"/>
          </w:tcPr>
          <w:p w14:paraId="2CC2B965" w14:textId="67BD26C6" w:rsidR="00FB33B3" w:rsidRPr="00EE5A46" w:rsidRDefault="00791E6A" w:rsidP="00FB33B3">
            <w:pPr>
              <w:pStyle w:val="NormalWeb"/>
              <w:spacing w:before="0" w:beforeAutospacing="0" w:after="0" w:afterAutospacing="0" w:line="360" w:lineRule="auto"/>
              <w:jc w:val="both"/>
              <w:rPr>
                <w:rFonts w:eastAsia="Calibri"/>
                <w:bCs/>
              </w:rPr>
            </w:pPr>
            <w:r>
              <w:rPr>
                <w:rFonts w:eastAsia="Calibri"/>
                <w:bCs/>
              </w:rPr>
              <w:t>22 January 2025</w:t>
            </w:r>
          </w:p>
        </w:tc>
      </w:tr>
      <w:tr w:rsidR="00FB33B3" w:rsidRPr="00EE5A46" w14:paraId="768DC12E" w14:textId="77777777" w:rsidTr="00F06DE7">
        <w:tc>
          <w:tcPr>
            <w:tcW w:w="2689" w:type="dxa"/>
            <w:shd w:val="clear" w:color="auto" w:fill="auto"/>
          </w:tcPr>
          <w:p w14:paraId="499D5C17" w14:textId="56A22810" w:rsidR="00FB33B3" w:rsidRPr="00EE5A46" w:rsidRDefault="00FB33B3"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t>Acquirer</w:t>
            </w:r>
          </w:p>
        </w:tc>
        <w:tc>
          <w:tcPr>
            <w:tcW w:w="6327" w:type="dxa"/>
            <w:gridSpan w:val="3"/>
            <w:shd w:val="clear" w:color="auto" w:fill="auto"/>
          </w:tcPr>
          <w:p w14:paraId="34E2A982" w14:textId="1CAC3811" w:rsidR="00FB33B3" w:rsidRPr="00EE5A46" w:rsidRDefault="00AA56FD" w:rsidP="00FB33B3">
            <w:pPr>
              <w:pStyle w:val="NormalWeb"/>
              <w:spacing w:before="0" w:beforeAutospacing="0" w:after="0" w:afterAutospacing="0" w:line="360" w:lineRule="auto"/>
              <w:jc w:val="both"/>
              <w:rPr>
                <w:rFonts w:eastAsia="Calibri"/>
                <w:bCs/>
              </w:rPr>
            </w:pPr>
            <w:r w:rsidRPr="00EE5A46">
              <w:rPr>
                <w:rFonts w:eastAsia="Calibri"/>
                <w:bCs/>
              </w:rPr>
              <w:t>Rainbow Tourism Group</w:t>
            </w:r>
          </w:p>
        </w:tc>
      </w:tr>
      <w:tr w:rsidR="00FB33B3" w:rsidRPr="00EE5A46" w14:paraId="66B91616" w14:textId="77777777" w:rsidTr="00F06DE7">
        <w:tc>
          <w:tcPr>
            <w:tcW w:w="2689" w:type="dxa"/>
            <w:shd w:val="clear" w:color="auto" w:fill="auto"/>
          </w:tcPr>
          <w:p w14:paraId="0B0BA46D" w14:textId="4046EF6F" w:rsidR="00FB33B3" w:rsidRPr="00EE5A46" w:rsidRDefault="00FB33B3"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lastRenderedPageBreak/>
              <w:t>Target</w:t>
            </w:r>
          </w:p>
        </w:tc>
        <w:tc>
          <w:tcPr>
            <w:tcW w:w="6327" w:type="dxa"/>
            <w:gridSpan w:val="3"/>
            <w:shd w:val="clear" w:color="auto" w:fill="auto"/>
          </w:tcPr>
          <w:p w14:paraId="58AFAE28" w14:textId="18093086" w:rsidR="00FB33B3" w:rsidRPr="00EE5A46" w:rsidRDefault="00C13773" w:rsidP="00FB33B3">
            <w:pPr>
              <w:pStyle w:val="NormalWeb"/>
              <w:spacing w:before="0" w:beforeAutospacing="0" w:after="0" w:afterAutospacing="0" w:line="360" w:lineRule="auto"/>
              <w:jc w:val="both"/>
              <w:rPr>
                <w:rFonts w:eastAsia="Calibri"/>
                <w:bCs/>
              </w:rPr>
            </w:pPr>
            <w:r w:rsidRPr="00EE5A46">
              <w:rPr>
                <w:rFonts w:eastAsia="Calibri"/>
                <w:bCs/>
              </w:rPr>
              <w:t>Montclair (Pvt) Ltd</w:t>
            </w:r>
          </w:p>
        </w:tc>
      </w:tr>
      <w:tr w:rsidR="00D3335D" w:rsidRPr="00EE5A46" w14:paraId="7AEDBA40" w14:textId="77777777" w:rsidTr="00D22852">
        <w:tc>
          <w:tcPr>
            <w:tcW w:w="9016" w:type="dxa"/>
            <w:gridSpan w:val="4"/>
            <w:shd w:val="clear" w:color="auto" w:fill="auto"/>
          </w:tcPr>
          <w:p w14:paraId="42B8A8D1" w14:textId="77777777" w:rsidR="00D3335D" w:rsidRPr="00EE5A46" w:rsidRDefault="00D3335D"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t xml:space="preserve">Merger Details </w:t>
            </w:r>
          </w:p>
          <w:p w14:paraId="32FEFAF1" w14:textId="6400F0B8" w:rsidR="00D3335D" w:rsidRPr="00EE5A46" w:rsidRDefault="00D3335D" w:rsidP="00B75FDA">
            <w:pPr>
              <w:spacing w:after="240" w:line="360" w:lineRule="auto"/>
              <w:jc w:val="both"/>
              <w:rPr>
                <w:rFonts w:ascii="Times New Roman" w:eastAsia="Times New Roman" w:hAnsi="Times New Roman" w:cs="Times New Roman"/>
                <w:color w:val="000000" w:themeColor="text1"/>
              </w:rPr>
            </w:pPr>
            <w:r w:rsidRPr="00EE5A46">
              <w:rPr>
                <w:rFonts w:ascii="Times New Roman" w:eastAsia="Times New Roman" w:hAnsi="Times New Roman" w:cs="Times New Roman"/>
                <w:color w:val="000000" w:themeColor="text1"/>
                <w:lang w:val="en-ZW"/>
              </w:rPr>
              <w:t xml:space="preserve">The transaction entails the proposed indirect acquisition of the entire issued share capital in Montclair (Private) Limited </w:t>
            </w:r>
            <w:r w:rsidRPr="00EE5A46">
              <w:rPr>
                <w:rFonts w:ascii="Times New Roman" w:eastAsia="Times New Roman" w:hAnsi="Times New Roman" w:cs="Times New Roman"/>
                <w:b/>
                <w:bCs/>
                <w:i/>
                <w:iCs/>
                <w:color w:val="000000" w:themeColor="text1"/>
                <w:lang w:val="en-ZW"/>
              </w:rPr>
              <w:t xml:space="preserve">(“Montclair”) </w:t>
            </w:r>
            <w:r w:rsidRPr="00EE5A46">
              <w:rPr>
                <w:rFonts w:ascii="Times New Roman" w:eastAsia="Times New Roman" w:hAnsi="Times New Roman" w:cs="Times New Roman"/>
                <w:color w:val="000000" w:themeColor="text1"/>
                <w:lang w:val="en-ZW"/>
              </w:rPr>
              <w:t xml:space="preserve">through Briolette Services (Private) Limited </w:t>
            </w:r>
            <w:r w:rsidRPr="00EE5A46">
              <w:rPr>
                <w:rFonts w:ascii="Times New Roman" w:eastAsia="Times New Roman" w:hAnsi="Times New Roman" w:cs="Times New Roman"/>
                <w:b/>
                <w:bCs/>
                <w:i/>
                <w:iCs/>
                <w:color w:val="000000" w:themeColor="text1"/>
                <w:lang w:val="en-ZW"/>
              </w:rPr>
              <w:t xml:space="preserve">(“Briolette”) </w:t>
            </w:r>
            <w:r w:rsidRPr="00EE5A46">
              <w:rPr>
                <w:rFonts w:ascii="Times New Roman" w:eastAsia="Times New Roman" w:hAnsi="Times New Roman" w:cs="Times New Roman"/>
                <w:color w:val="000000" w:themeColor="text1"/>
                <w:lang w:val="en-ZW"/>
              </w:rPr>
              <w:t xml:space="preserve">by Rainbow Tourism Group </w:t>
            </w:r>
            <w:r w:rsidRPr="00EE5A46">
              <w:rPr>
                <w:rFonts w:ascii="Times New Roman" w:eastAsia="Times New Roman" w:hAnsi="Times New Roman" w:cs="Times New Roman"/>
                <w:b/>
                <w:bCs/>
                <w:i/>
                <w:iCs/>
                <w:color w:val="000000" w:themeColor="text1"/>
                <w:lang w:val="en-ZW"/>
              </w:rPr>
              <w:t>(“RTG”)</w:t>
            </w:r>
            <w:r w:rsidRPr="00EE5A46">
              <w:rPr>
                <w:rFonts w:ascii="Times New Roman" w:eastAsia="Times New Roman" w:hAnsi="Times New Roman" w:cs="Times New Roman"/>
                <w:i/>
                <w:iCs/>
                <w:color w:val="000000" w:themeColor="text1"/>
                <w:lang w:val="en-ZW"/>
              </w:rPr>
              <w:t xml:space="preserve">. </w:t>
            </w:r>
            <w:r w:rsidRPr="00EE5A46">
              <w:rPr>
                <w:rFonts w:ascii="Times New Roman" w:eastAsia="Times New Roman" w:hAnsi="Times New Roman" w:cs="Times New Roman"/>
                <w:lang w:val="en-ZW"/>
              </w:rPr>
              <w:t>RTG is a player in Zimbabwe's tourism and hospitality industry with a portfolio of six hotels in Victoria falls, Bulawayo, Kadoma, and Harare. Additionally, RTG offers tour operation services through its subsidiary, Heritage Expeditions Africa. Briolette is a special purpose vehicle that wholly owns Montclair. Montclair operates in the hotel and hospitality market, offering a range of services including hotel services, casino, and leisure activities such as horse riding. Montclair's portfolio comprises of the Montclair Hotel, situated in Juliasdale, Nyanga; the Raytons apartments, located in Nyanga town; and a casino in Harare.</w:t>
            </w:r>
          </w:p>
        </w:tc>
      </w:tr>
      <w:tr w:rsidR="009552C5" w:rsidRPr="00EE5A46" w14:paraId="6A66E4F2" w14:textId="77777777" w:rsidTr="0047196E">
        <w:tc>
          <w:tcPr>
            <w:tcW w:w="2689" w:type="dxa"/>
            <w:shd w:val="clear" w:color="auto" w:fill="auto"/>
          </w:tcPr>
          <w:p w14:paraId="0D5B36CB" w14:textId="44163892" w:rsidR="009552C5" w:rsidRPr="00EE5A46" w:rsidRDefault="009552C5"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t>Relevant Market</w:t>
            </w:r>
          </w:p>
        </w:tc>
        <w:tc>
          <w:tcPr>
            <w:tcW w:w="6327" w:type="dxa"/>
            <w:gridSpan w:val="3"/>
            <w:shd w:val="clear" w:color="auto" w:fill="auto"/>
          </w:tcPr>
          <w:p w14:paraId="32BF27CE" w14:textId="0A2EE9DB" w:rsidR="009552C5" w:rsidRPr="00EE5A46" w:rsidRDefault="00E50029" w:rsidP="00FB33B3">
            <w:pPr>
              <w:pStyle w:val="NormalWeb"/>
              <w:spacing w:before="0" w:beforeAutospacing="0" w:after="0" w:afterAutospacing="0" w:line="360" w:lineRule="auto"/>
              <w:jc w:val="both"/>
              <w:rPr>
                <w:rFonts w:eastAsia="Calibri"/>
                <w:b/>
                <w:bCs/>
                <w:color w:val="000000" w:themeColor="text1"/>
              </w:rPr>
            </w:pPr>
            <w:r w:rsidRPr="00EE5A46">
              <w:rPr>
                <w:i/>
                <w:iCs/>
                <w:color w:val="000000" w:themeColor="text1"/>
              </w:rPr>
              <w:t>Provision of hotel and hospitality services in Zimbabwe.</w:t>
            </w:r>
          </w:p>
        </w:tc>
      </w:tr>
      <w:tr w:rsidR="00E50029" w:rsidRPr="00EE5A46" w14:paraId="329B8D0F" w14:textId="77777777" w:rsidTr="0047196E">
        <w:tc>
          <w:tcPr>
            <w:tcW w:w="2689" w:type="dxa"/>
            <w:shd w:val="clear" w:color="auto" w:fill="auto"/>
          </w:tcPr>
          <w:p w14:paraId="571C686A" w14:textId="6CC68723" w:rsidR="00E50029" w:rsidRPr="00EE5A46" w:rsidRDefault="0047196E"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t>Type of Merger</w:t>
            </w:r>
          </w:p>
        </w:tc>
        <w:tc>
          <w:tcPr>
            <w:tcW w:w="6327" w:type="dxa"/>
            <w:gridSpan w:val="3"/>
            <w:shd w:val="clear" w:color="auto" w:fill="auto"/>
          </w:tcPr>
          <w:p w14:paraId="77DE9F8B" w14:textId="79055330" w:rsidR="00E50029" w:rsidRPr="00EE5A46" w:rsidRDefault="0047196E" w:rsidP="00FB33B3">
            <w:pPr>
              <w:pStyle w:val="NormalWeb"/>
              <w:spacing w:before="0" w:beforeAutospacing="0" w:after="0" w:afterAutospacing="0" w:line="360" w:lineRule="auto"/>
              <w:jc w:val="both"/>
              <w:rPr>
                <w:color w:val="000000" w:themeColor="text1"/>
              </w:rPr>
            </w:pPr>
            <w:r w:rsidRPr="00EE5A46">
              <w:rPr>
                <w:color w:val="000000" w:themeColor="text1"/>
              </w:rPr>
              <w:t xml:space="preserve">Horizontal </w:t>
            </w:r>
          </w:p>
        </w:tc>
      </w:tr>
      <w:tr w:rsidR="0047196E" w:rsidRPr="00EE5A46" w14:paraId="5BB4D1B6" w14:textId="77777777" w:rsidTr="0047196E">
        <w:tc>
          <w:tcPr>
            <w:tcW w:w="2689" w:type="dxa"/>
            <w:shd w:val="clear" w:color="auto" w:fill="auto"/>
          </w:tcPr>
          <w:p w14:paraId="0605EDFA" w14:textId="494E53A3" w:rsidR="0047196E" w:rsidRPr="00EE5A46" w:rsidRDefault="0047196E" w:rsidP="00FB33B3">
            <w:pPr>
              <w:pStyle w:val="NormalWeb"/>
              <w:spacing w:before="0" w:beforeAutospacing="0" w:after="0" w:afterAutospacing="0" w:line="360" w:lineRule="auto"/>
              <w:jc w:val="both"/>
              <w:rPr>
                <w:rFonts w:eastAsia="Calibri"/>
                <w:b/>
                <w:bCs/>
                <w:color w:val="000000" w:themeColor="text1"/>
              </w:rPr>
            </w:pPr>
            <w:r w:rsidRPr="00EE5A46">
              <w:rPr>
                <w:rFonts w:eastAsia="Calibri"/>
                <w:b/>
                <w:bCs/>
                <w:color w:val="000000" w:themeColor="text1"/>
              </w:rPr>
              <w:t xml:space="preserve">Commission’s Decision </w:t>
            </w:r>
          </w:p>
        </w:tc>
        <w:tc>
          <w:tcPr>
            <w:tcW w:w="6327" w:type="dxa"/>
            <w:gridSpan w:val="3"/>
            <w:shd w:val="clear" w:color="auto" w:fill="auto"/>
          </w:tcPr>
          <w:p w14:paraId="2C874027" w14:textId="168508D2" w:rsidR="0047196E" w:rsidRPr="00EE5A46" w:rsidRDefault="0047196E" w:rsidP="00FB33B3">
            <w:pPr>
              <w:pStyle w:val="NormalWeb"/>
              <w:spacing w:before="0" w:beforeAutospacing="0" w:after="0" w:afterAutospacing="0" w:line="360" w:lineRule="auto"/>
              <w:jc w:val="both"/>
              <w:rPr>
                <w:color w:val="000000" w:themeColor="text1"/>
              </w:rPr>
            </w:pPr>
            <w:r w:rsidRPr="00EE5A46">
              <w:rPr>
                <w:color w:val="000000" w:themeColor="text1"/>
              </w:rPr>
              <w:t xml:space="preserve">The merger was approved without </w:t>
            </w:r>
            <w:r w:rsidR="005D1BE8" w:rsidRPr="00EE5A46">
              <w:rPr>
                <w:color w:val="000000" w:themeColor="text1"/>
              </w:rPr>
              <w:t xml:space="preserve">conditions </w:t>
            </w:r>
          </w:p>
        </w:tc>
      </w:tr>
    </w:tbl>
    <w:p w14:paraId="6BF67DD5" w14:textId="77777777" w:rsidR="00DC3BD2" w:rsidRPr="00EE5A46" w:rsidRDefault="00DC3BD2">
      <w:pPr>
        <w:rPr>
          <w:rFonts w:ascii="Times New Roman" w:hAnsi="Times New Roman" w:cs="Times New Roman"/>
        </w:rPr>
      </w:pPr>
    </w:p>
    <w:sectPr w:rsidR="00DC3BD2" w:rsidRPr="00EE5A46">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680C" w14:textId="77777777" w:rsidR="000C0120" w:rsidRDefault="000C0120" w:rsidP="00C76B72">
      <w:r>
        <w:separator/>
      </w:r>
    </w:p>
  </w:endnote>
  <w:endnote w:type="continuationSeparator" w:id="0">
    <w:p w14:paraId="33011520" w14:textId="77777777" w:rsidR="000C0120" w:rsidRDefault="000C0120" w:rsidP="00C7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021934"/>
      <w:docPartObj>
        <w:docPartGallery w:val="Page Numbers (Bottom of Page)"/>
        <w:docPartUnique/>
      </w:docPartObj>
    </w:sdtPr>
    <w:sdtContent>
      <w:p w14:paraId="2C484F8E" w14:textId="1BE1B50B" w:rsidR="00C76B72" w:rsidRDefault="00C76B72" w:rsidP="00B457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4E3B5E" w14:textId="77777777" w:rsidR="00C76B72" w:rsidRDefault="00C76B72" w:rsidP="00C76B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605778"/>
      <w:docPartObj>
        <w:docPartGallery w:val="Page Numbers (Bottom of Page)"/>
        <w:docPartUnique/>
      </w:docPartObj>
    </w:sdtPr>
    <w:sdtContent>
      <w:p w14:paraId="74B3BC5E" w14:textId="20A463A1" w:rsidR="00C76B72" w:rsidRDefault="00C76B72" w:rsidP="00B457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1C8F56" w14:textId="77777777" w:rsidR="00C76B72" w:rsidRDefault="00C76B72" w:rsidP="00C76B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C49A" w14:textId="77777777" w:rsidR="000C0120" w:rsidRDefault="000C0120" w:rsidP="00C76B72">
      <w:r>
        <w:separator/>
      </w:r>
    </w:p>
  </w:footnote>
  <w:footnote w:type="continuationSeparator" w:id="0">
    <w:p w14:paraId="48E3AD84" w14:textId="77777777" w:rsidR="000C0120" w:rsidRDefault="000C0120" w:rsidP="00C7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F95"/>
    <w:multiLevelType w:val="hybridMultilevel"/>
    <w:tmpl w:val="1F1E4D28"/>
    <w:lvl w:ilvl="0" w:tplc="5770E28C">
      <w:start w:val="1"/>
      <w:numFmt w:val="decimal"/>
      <w:lvlText w:val="%1."/>
      <w:lvlJc w:val="left"/>
      <w:pPr>
        <w:ind w:left="720" w:hanging="360"/>
      </w:pPr>
      <w:rPr>
        <w:rFonts w:ascii="Times New Roman" w:eastAsiaTheme="minorHAnsi" w:hAnsi="Times New Roman" w:cs="Times New Roman"/>
        <w:i w:val="0"/>
        <w:i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2CD435E"/>
    <w:multiLevelType w:val="hybridMultilevel"/>
    <w:tmpl w:val="74CAC30E"/>
    <w:lvl w:ilvl="0" w:tplc="1946E148">
      <w:start w:val="1"/>
      <w:numFmt w:val="lowerRoman"/>
      <w:lvlText w:val="%1."/>
      <w:lvlJc w:val="left"/>
      <w:pPr>
        <w:ind w:left="1211" w:hanging="360"/>
      </w:pPr>
      <w:rPr>
        <w:rFonts w:hint="default"/>
        <w:i/>
        <w:i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1A94C83"/>
    <w:multiLevelType w:val="multilevel"/>
    <w:tmpl w:val="A4EA3B28"/>
    <w:lvl w:ilvl="0">
      <w:start w:val="1"/>
      <w:numFmt w:val="decimal"/>
      <w:lvlText w:val="%1."/>
      <w:lvlJc w:val="left"/>
      <w:pPr>
        <w:ind w:left="360" w:hanging="360"/>
      </w:pPr>
      <w:rPr>
        <w:rFonts w:hint="default"/>
        <w:sz w:val="24"/>
        <w:szCs w:val="24"/>
      </w:rPr>
    </w:lvl>
    <w:lvl w:ilvl="1">
      <w:start w:val="1"/>
      <w:numFmt w:val="decimal"/>
      <w:lvlText w:val="%1.%2."/>
      <w:lvlJc w:val="left"/>
      <w:pPr>
        <w:ind w:left="643"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2A3791"/>
    <w:multiLevelType w:val="hybridMultilevel"/>
    <w:tmpl w:val="E16EFA5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FDD120D"/>
    <w:multiLevelType w:val="hybridMultilevel"/>
    <w:tmpl w:val="2F6CC97E"/>
    <w:lvl w:ilvl="0" w:tplc="6324E042">
      <w:start w:val="1"/>
      <w:numFmt w:val="decimal"/>
      <w:lvlText w:val="%1."/>
      <w:lvlJc w:val="left"/>
      <w:pPr>
        <w:ind w:left="720" w:hanging="360"/>
      </w:pPr>
      <w:rPr>
        <w:rFonts w:ascii="Times New Roman" w:eastAsia="Aptos" w:hAnsi="Times New Roman"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29200F"/>
    <w:multiLevelType w:val="hybridMultilevel"/>
    <w:tmpl w:val="A05EE1D4"/>
    <w:lvl w:ilvl="0" w:tplc="FFFFFFFF">
      <w:start w:val="1"/>
      <w:numFmt w:val="lowerRoman"/>
      <w:lvlText w:val="%1."/>
      <w:lvlJc w:val="left"/>
      <w:pPr>
        <w:ind w:left="1080" w:hanging="72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F06A45"/>
    <w:multiLevelType w:val="multilevel"/>
    <w:tmpl w:val="815894F8"/>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255870715">
    <w:abstractNumId w:val="3"/>
  </w:num>
  <w:num w:numId="2" w16cid:durableId="1524394381">
    <w:abstractNumId w:val="1"/>
  </w:num>
  <w:num w:numId="3" w16cid:durableId="669138379">
    <w:abstractNumId w:val="5"/>
  </w:num>
  <w:num w:numId="4" w16cid:durableId="699284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7538908">
    <w:abstractNumId w:val="6"/>
  </w:num>
  <w:num w:numId="6" w16cid:durableId="270285489">
    <w:abstractNumId w:val="0"/>
  </w:num>
  <w:num w:numId="7" w16cid:durableId="106746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2B"/>
    <w:rsid w:val="000614AF"/>
    <w:rsid w:val="0008738A"/>
    <w:rsid w:val="000A28F7"/>
    <w:rsid w:val="000C0120"/>
    <w:rsid w:val="000C7706"/>
    <w:rsid w:val="000F47B7"/>
    <w:rsid w:val="000F7F31"/>
    <w:rsid w:val="001152C2"/>
    <w:rsid w:val="001940DE"/>
    <w:rsid w:val="001A71B3"/>
    <w:rsid w:val="00230F59"/>
    <w:rsid w:val="002431D0"/>
    <w:rsid w:val="00246815"/>
    <w:rsid w:val="002657D3"/>
    <w:rsid w:val="0027729A"/>
    <w:rsid w:val="002847AB"/>
    <w:rsid w:val="002A465B"/>
    <w:rsid w:val="002D6931"/>
    <w:rsid w:val="00304D43"/>
    <w:rsid w:val="003175AA"/>
    <w:rsid w:val="00337C7A"/>
    <w:rsid w:val="00341017"/>
    <w:rsid w:val="00353A05"/>
    <w:rsid w:val="0039146D"/>
    <w:rsid w:val="003B3312"/>
    <w:rsid w:val="004052FB"/>
    <w:rsid w:val="00442EA8"/>
    <w:rsid w:val="0047196E"/>
    <w:rsid w:val="004A1BF4"/>
    <w:rsid w:val="004B064F"/>
    <w:rsid w:val="004B54B1"/>
    <w:rsid w:val="004E14A4"/>
    <w:rsid w:val="004E4387"/>
    <w:rsid w:val="004F6978"/>
    <w:rsid w:val="005355EF"/>
    <w:rsid w:val="005B1614"/>
    <w:rsid w:val="005B2762"/>
    <w:rsid w:val="005D1BE8"/>
    <w:rsid w:val="005E3322"/>
    <w:rsid w:val="005F39DD"/>
    <w:rsid w:val="00611263"/>
    <w:rsid w:val="00613975"/>
    <w:rsid w:val="00613D0B"/>
    <w:rsid w:val="006307A4"/>
    <w:rsid w:val="007062E7"/>
    <w:rsid w:val="00723366"/>
    <w:rsid w:val="00732CCB"/>
    <w:rsid w:val="00741944"/>
    <w:rsid w:val="00775B71"/>
    <w:rsid w:val="00791E6A"/>
    <w:rsid w:val="007B00A8"/>
    <w:rsid w:val="00841C07"/>
    <w:rsid w:val="00842C1E"/>
    <w:rsid w:val="00853BCC"/>
    <w:rsid w:val="00892BCA"/>
    <w:rsid w:val="00892E44"/>
    <w:rsid w:val="00896095"/>
    <w:rsid w:val="008A01BA"/>
    <w:rsid w:val="008B2370"/>
    <w:rsid w:val="008F6481"/>
    <w:rsid w:val="008F6A2E"/>
    <w:rsid w:val="00911F8F"/>
    <w:rsid w:val="00912FDA"/>
    <w:rsid w:val="009318A2"/>
    <w:rsid w:val="009552C5"/>
    <w:rsid w:val="00981D42"/>
    <w:rsid w:val="009E023E"/>
    <w:rsid w:val="009E1294"/>
    <w:rsid w:val="00AA27BB"/>
    <w:rsid w:val="00AA56FD"/>
    <w:rsid w:val="00AA5B2F"/>
    <w:rsid w:val="00AC6DF1"/>
    <w:rsid w:val="00B0032F"/>
    <w:rsid w:val="00B24493"/>
    <w:rsid w:val="00B412FC"/>
    <w:rsid w:val="00B75FDA"/>
    <w:rsid w:val="00BC26C4"/>
    <w:rsid w:val="00BC3281"/>
    <w:rsid w:val="00BE07AB"/>
    <w:rsid w:val="00BF5614"/>
    <w:rsid w:val="00C13773"/>
    <w:rsid w:val="00C6206C"/>
    <w:rsid w:val="00C7453F"/>
    <w:rsid w:val="00C76B72"/>
    <w:rsid w:val="00C93AC6"/>
    <w:rsid w:val="00CA359F"/>
    <w:rsid w:val="00CC1312"/>
    <w:rsid w:val="00CC7E7A"/>
    <w:rsid w:val="00CD0010"/>
    <w:rsid w:val="00D01185"/>
    <w:rsid w:val="00D25B9E"/>
    <w:rsid w:val="00D3335D"/>
    <w:rsid w:val="00D3724F"/>
    <w:rsid w:val="00D4284D"/>
    <w:rsid w:val="00D45268"/>
    <w:rsid w:val="00D536E5"/>
    <w:rsid w:val="00D567CE"/>
    <w:rsid w:val="00D93C5A"/>
    <w:rsid w:val="00DC3BD2"/>
    <w:rsid w:val="00DD6478"/>
    <w:rsid w:val="00DE61CB"/>
    <w:rsid w:val="00DF55E6"/>
    <w:rsid w:val="00E227E0"/>
    <w:rsid w:val="00E50029"/>
    <w:rsid w:val="00E62E9C"/>
    <w:rsid w:val="00E7314B"/>
    <w:rsid w:val="00E768BD"/>
    <w:rsid w:val="00E9123D"/>
    <w:rsid w:val="00EE5A46"/>
    <w:rsid w:val="00EF23A1"/>
    <w:rsid w:val="00F044A6"/>
    <w:rsid w:val="00F06DE7"/>
    <w:rsid w:val="00F47CF1"/>
    <w:rsid w:val="00F65473"/>
    <w:rsid w:val="00FB33B3"/>
    <w:rsid w:val="00FD7154"/>
    <w:rsid w:val="00FE632B"/>
    <w:rsid w:val="00FE7EDF"/>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decimalSymbol w:val="."/>
  <w:listSeparator w:val=","/>
  <w14:docId w14:val="3D681DEC"/>
  <w15:chartTrackingRefBased/>
  <w15:docId w15:val="{18DD4C57-031C-974A-9516-DC459007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32B"/>
    <w:rPr>
      <w:rFonts w:eastAsiaTheme="majorEastAsia" w:cstheme="majorBidi"/>
      <w:color w:val="272727" w:themeColor="text1" w:themeTint="D8"/>
    </w:rPr>
  </w:style>
  <w:style w:type="paragraph" w:styleId="Title">
    <w:name w:val="Title"/>
    <w:basedOn w:val="Normal"/>
    <w:next w:val="Normal"/>
    <w:link w:val="TitleChar"/>
    <w:uiPriority w:val="10"/>
    <w:qFormat/>
    <w:rsid w:val="00FE63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3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3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32B"/>
    <w:rPr>
      <w:i/>
      <w:iCs/>
      <w:color w:val="404040" w:themeColor="text1" w:themeTint="BF"/>
    </w:rPr>
  </w:style>
  <w:style w:type="paragraph" w:styleId="ListParagraph">
    <w:name w:val="List Paragraph"/>
    <w:basedOn w:val="Normal"/>
    <w:uiPriority w:val="34"/>
    <w:qFormat/>
    <w:rsid w:val="00FE632B"/>
    <w:pPr>
      <w:ind w:left="720"/>
      <w:contextualSpacing/>
    </w:pPr>
  </w:style>
  <w:style w:type="character" w:styleId="IntenseEmphasis">
    <w:name w:val="Intense Emphasis"/>
    <w:basedOn w:val="DefaultParagraphFont"/>
    <w:uiPriority w:val="21"/>
    <w:qFormat/>
    <w:rsid w:val="00FE632B"/>
    <w:rPr>
      <w:i/>
      <w:iCs/>
      <w:color w:val="0F4761" w:themeColor="accent1" w:themeShade="BF"/>
    </w:rPr>
  </w:style>
  <w:style w:type="paragraph" w:styleId="IntenseQuote">
    <w:name w:val="Intense Quote"/>
    <w:basedOn w:val="Normal"/>
    <w:next w:val="Normal"/>
    <w:link w:val="IntenseQuoteChar"/>
    <w:uiPriority w:val="30"/>
    <w:qFormat/>
    <w:rsid w:val="00FE6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32B"/>
    <w:rPr>
      <w:i/>
      <w:iCs/>
      <w:color w:val="0F4761" w:themeColor="accent1" w:themeShade="BF"/>
    </w:rPr>
  </w:style>
  <w:style w:type="character" w:styleId="IntenseReference">
    <w:name w:val="Intense Reference"/>
    <w:basedOn w:val="DefaultParagraphFont"/>
    <w:uiPriority w:val="32"/>
    <w:qFormat/>
    <w:rsid w:val="00FE632B"/>
    <w:rPr>
      <w:b/>
      <w:bCs/>
      <w:smallCaps/>
      <w:color w:val="0F4761" w:themeColor="accent1" w:themeShade="BF"/>
      <w:spacing w:val="5"/>
    </w:rPr>
  </w:style>
  <w:style w:type="table" w:styleId="TableGrid">
    <w:name w:val="Table Grid"/>
    <w:basedOn w:val="TableNormal"/>
    <w:uiPriority w:val="39"/>
    <w:rsid w:val="00FE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6B72"/>
    <w:pPr>
      <w:tabs>
        <w:tab w:val="center" w:pos="4513"/>
        <w:tab w:val="right" w:pos="9026"/>
      </w:tabs>
    </w:pPr>
  </w:style>
  <w:style w:type="character" w:customStyle="1" w:styleId="FooterChar">
    <w:name w:val="Footer Char"/>
    <w:basedOn w:val="DefaultParagraphFont"/>
    <w:link w:val="Footer"/>
    <w:uiPriority w:val="99"/>
    <w:rsid w:val="00C76B72"/>
  </w:style>
  <w:style w:type="character" w:styleId="PageNumber">
    <w:name w:val="page number"/>
    <w:basedOn w:val="DefaultParagraphFont"/>
    <w:uiPriority w:val="99"/>
    <w:semiHidden/>
    <w:unhideWhenUsed/>
    <w:rsid w:val="00C76B72"/>
  </w:style>
  <w:style w:type="paragraph" w:styleId="NormalWeb">
    <w:name w:val="Normal (Web)"/>
    <w:basedOn w:val="Normal"/>
    <w:uiPriority w:val="99"/>
    <w:unhideWhenUsed/>
    <w:rsid w:val="001A71B3"/>
    <w:pPr>
      <w:spacing w:before="100" w:beforeAutospacing="1" w:after="100" w:afterAutospacing="1"/>
    </w:pPr>
    <w:rPr>
      <w:rFonts w:ascii="Times New Roman" w:eastAsia="Times New Roman" w:hAnsi="Times New Roman" w:cs="Times New Roman"/>
      <w:kern w:val="0"/>
      <w:lang w:val="en-ZW"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1528</Words>
  <Characters>8715</Characters>
  <Application>Microsoft Office Word</Application>
  <DocSecurity>0</DocSecurity>
  <Lines>72</Lines>
  <Paragraphs>20</Paragraphs>
  <ScaleCrop>false</ScaleCrop>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Calistar  Dzenga</dc:creator>
  <cp:keywords/>
  <dc:description/>
  <cp:lastModifiedBy>Calistar  Dzenga</cp:lastModifiedBy>
  <cp:revision>5</cp:revision>
  <dcterms:created xsi:type="dcterms:W3CDTF">2025-07-01T05:43:00Z</dcterms:created>
  <dcterms:modified xsi:type="dcterms:W3CDTF">2025-07-01T07:38:00Z</dcterms:modified>
</cp:coreProperties>
</file>