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85CD" w14:textId="6B7BEFCE" w:rsidR="00D57322" w:rsidRP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57322">
        <w:rPr>
          <w:rFonts w:ascii="Times New Roman" w:hAnsi="Times New Roman" w:cs="Times New Roman"/>
          <w:b/>
          <w:bCs/>
          <w:u w:val="single"/>
        </w:rPr>
        <w:t xml:space="preserve">CONSIDERATION OF THE “FAILING FIRM </w:t>
      </w:r>
      <w:r w:rsidR="00666FC2">
        <w:rPr>
          <w:rFonts w:ascii="Times New Roman" w:hAnsi="Times New Roman" w:cs="Times New Roman"/>
          <w:b/>
          <w:bCs/>
          <w:u w:val="single"/>
        </w:rPr>
        <w:t>DEFENCE</w:t>
      </w:r>
      <w:r w:rsidRPr="00D57322">
        <w:rPr>
          <w:rFonts w:ascii="Times New Roman" w:hAnsi="Times New Roman" w:cs="Times New Roman"/>
          <w:b/>
          <w:bCs/>
          <w:u w:val="single"/>
        </w:rPr>
        <w:t xml:space="preserve">" IN MERGER REGULATION </w:t>
      </w:r>
    </w:p>
    <w:p w14:paraId="40AC1573" w14:textId="77777777" w:rsid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654C89" w14:textId="77777777" w:rsidR="002310B7" w:rsidRDefault="002310B7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C7BFF5" w14:textId="77777777" w:rsidR="002A4AC8" w:rsidRPr="00D57322" w:rsidRDefault="002A4AC8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8EA753" w14:textId="2176CF64" w:rsidR="006D215E" w:rsidRDefault="006D215E" w:rsidP="006D215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Background</w:t>
      </w:r>
    </w:p>
    <w:p w14:paraId="057DCB90" w14:textId="6405C98E" w:rsid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 xml:space="preserve">In the dynamic world of business, companies </w:t>
      </w:r>
      <w:r w:rsidR="001F4ABB">
        <w:rPr>
          <w:rFonts w:ascii="Times New Roman" w:hAnsi="Times New Roman" w:cs="Times New Roman"/>
        </w:rPr>
        <w:t>may</w:t>
      </w:r>
      <w:r w:rsidRPr="00D57322">
        <w:rPr>
          <w:rFonts w:ascii="Times New Roman" w:hAnsi="Times New Roman" w:cs="Times New Roman"/>
        </w:rPr>
        <w:t xml:space="preserve"> face </w:t>
      </w:r>
      <w:r w:rsidR="00C23904" w:rsidRPr="00D57322">
        <w:rPr>
          <w:rFonts w:ascii="Times New Roman" w:hAnsi="Times New Roman" w:cs="Times New Roman"/>
        </w:rPr>
        <w:t>challenging</w:t>
      </w:r>
      <w:r w:rsidRPr="00D57322">
        <w:rPr>
          <w:rFonts w:ascii="Times New Roman" w:hAnsi="Times New Roman" w:cs="Times New Roman"/>
        </w:rPr>
        <w:t xml:space="preserve"> financial difficulties</w:t>
      </w:r>
      <w:r w:rsidR="00666FC2">
        <w:rPr>
          <w:rFonts w:ascii="Times New Roman" w:hAnsi="Times New Roman" w:cs="Times New Roman"/>
        </w:rPr>
        <w:t xml:space="preserve"> emanating </w:t>
      </w:r>
      <w:r w:rsidR="00666FC2" w:rsidRPr="00666FC2">
        <w:rPr>
          <w:rFonts w:ascii="Times New Roman" w:hAnsi="Times New Roman" w:cs="Times New Roman"/>
        </w:rPr>
        <w:t xml:space="preserve">from liquidity constraints </w:t>
      </w:r>
      <w:r w:rsidR="00666FC2">
        <w:rPr>
          <w:rFonts w:ascii="Times New Roman" w:hAnsi="Times New Roman" w:cs="Times New Roman"/>
        </w:rPr>
        <w:t>and</w:t>
      </w:r>
      <w:r w:rsidR="00666FC2" w:rsidRPr="00666FC2">
        <w:rPr>
          <w:rFonts w:ascii="Times New Roman" w:hAnsi="Times New Roman" w:cs="Times New Roman"/>
        </w:rPr>
        <w:t xml:space="preserve"> market shifts</w:t>
      </w:r>
      <w:r w:rsidR="00666FC2">
        <w:rPr>
          <w:rFonts w:ascii="Times New Roman" w:hAnsi="Times New Roman" w:cs="Times New Roman"/>
        </w:rPr>
        <w:t xml:space="preserve"> among other factors</w:t>
      </w:r>
      <w:r w:rsidRPr="00D57322">
        <w:rPr>
          <w:rFonts w:ascii="Times New Roman" w:hAnsi="Times New Roman" w:cs="Times New Roman"/>
        </w:rPr>
        <w:t xml:space="preserve">. When </w:t>
      </w:r>
      <w:r w:rsidR="00E61180">
        <w:rPr>
          <w:rFonts w:ascii="Times New Roman" w:hAnsi="Times New Roman" w:cs="Times New Roman"/>
        </w:rPr>
        <w:t xml:space="preserve">entities faced with such </w:t>
      </w:r>
      <w:r w:rsidR="0062737E">
        <w:rPr>
          <w:rFonts w:ascii="Times New Roman" w:hAnsi="Times New Roman" w:cs="Times New Roman"/>
        </w:rPr>
        <w:t>situations</w:t>
      </w:r>
      <w:r w:rsidR="00AE1B6F">
        <w:rPr>
          <w:rFonts w:ascii="Times New Roman" w:hAnsi="Times New Roman" w:cs="Times New Roman"/>
        </w:rPr>
        <w:t xml:space="preserve"> </w:t>
      </w:r>
      <w:r w:rsidR="009B1E4A">
        <w:rPr>
          <w:rFonts w:ascii="Times New Roman" w:hAnsi="Times New Roman" w:cs="Times New Roman"/>
        </w:rPr>
        <w:t>intend</w:t>
      </w:r>
      <w:r w:rsidRPr="00D57322">
        <w:rPr>
          <w:rFonts w:ascii="Times New Roman" w:hAnsi="Times New Roman" w:cs="Times New Roman"/>
        </w:rPr>
        <w:t xml:space="preserve"> to merge with another firm, it raises a crucial </w:t>
      </w:r>
      <w:r w:rsidR="00CD4D99">
        <w:rPr>
          <w:rFonts w:ascii="Times New Roman" w:hAnsi="Times New Roman" w:cs="Times New Roman"/>
        </w:rPr>
        <w:t>issue</w:t>
      </w:r>
      <w:r w:rsidRPr="00D57322">
        <w:rPr>
          <w:rFonts w:ascii="Times New Roman" w:hAnsi="Times New Roman" w:cs="Times New Roman"/>
        </w:rPr>
        <w:t xml:space="preserve"> for </w:t>
      </w:r>
      <w:r w:rsidR="00C23904">
        <w:rPr>
          <w:rFonts w:ascii="Times New Roman" w:hAnsi="Times New Roman" w:cs="Times New Roman"/>
        </w:rPr>
        <w:t xml:space="preserve">the </w:t>
      </w:r>
      <w:r w:rsidRPr="00D57322">
        <w:rPr>
          <w:rFonts w:ascii="Times New Roman" w:hAnsi="Times New Roman" w:cs="Times New Roman"/>
        </w:rPr>
        <w:t>competition regulator</w:t>
      </w:r>
      <w:r w:rsidR="00CD4D99">
        <w:rPr>
          <w:rFonts w:ascii="Times New Roman" w:hAnsi="Times New Roman" w:cs="Times New Roman"/>
        </w:rPr>
        <w:t xml:space="preserve"> </w:t>
      </w:r>
      <w:r w:rsidR="003A0239">
        <w:rPr>
          <w:rFonts w:ascii="Times New Roman" w:hAnsi="Times New Roman" w:cs="Times New Roman"/>
        </w:rPr>
        <w:t xml:space="preserve">on </w:t>
      </w:r>
      <w:r w:rsidR="00CD4D99">
        <w:rPr>
          <w:rFonts w:ascii="Times New Roman" w:hAnsi="Times New Roman" w:cs="Times New Roman"/>
        </w:rPr>
        <w:t>whether</w:t>
      </w:r>
      <w:r w:rsidRPr="00D57322">
        <w:rPr>
          <w:rFonts w:ascii="Times New Roman" w:hAnsi="Times New Roman" w:cs="Times New Roman"/>
        </w:rPr>
        <w:t xml:space="preserve"> s</w:t>
      </w:r>
      <w:r w:rsidR="003A0239">
        <w:rPr>
          <w:rFonts w:ascii="Times New Roman" w:hAnsi="Times New Roman" w:cs="Times New Roman"/>
        </w:rPr>
        <w:t>uch</w:t>
      </w:r>
      <w:r w:rsidRPr="00D57322">
        <w:rPr>
          <w:rFonts w:ascii="Times New Roman" w:hAnsi="Times New Roman" w:cs="Times New Roman"/>
        </w:rPr>
        <w:t xml:space="preserve"> </w:t>
      </w:r>
      <w:r w:rsidR="003A0239">
        <w:rPr>
          <w:rFonts w:ascii="Times New Roman" w:hAnsi="Times New Roman" w:cs="Times New Roman"/>
        </w:rPr>
        <w:t>a</w:t>
      </w:r>
      <w:r w:rsidRPr="00D57322">
        <w:rPr>
          <w:rFonts w:ascii="Times New Roman" w:hAnsi="Times New Roman" w:cs="Times New Roman"/>
        </w:rPr>
        <w:t xml:space="preserve"> merger </w:t>
      </w:r>
      <w:r w:rsidR="003A0239">
        <w:rPr>
          <w:rFonts w:ascii="Times New Roman" w:hAnsi="Times New Roman" w:cs="Times New Roman"/>
        </w:rPr>
        <w:t xml:space="preserve">should </w:t>
      </w:r>
      <w:r w:rsidRPr="00D57322">
        <w:rPr>
          <w:rFonts w:ascii="Times New Roman" w:hAnsi="Times New Roman" w:cs="Times New Roman"/>
        </w:rPr>
        <w:t>be allowed, even if it might reduce competition</w:t>
      </w:r>
      <w:r w:rsidR="003A0239">
        <w:rPr>
          <w:rFonts w:ascii="Times New Roman" w:hAnsi="Times New Roman" w:cs="Times New Roman"/>
        </w:rPr>
        <w:t>.</w:t>
      </w:r>
      <w:r w:rsidRPr="00D57322">
        <w:rPr>
          <w:rFonts w:ascii="Times New Roman" w:hAnsi="Times New Roman" w:cs="Times New Roman"/>
        </w:rPr>
        <w:t xml:space="preserve"> This is where the "</w:t>
      </w:r>
      <w:r w:rsidRPr="00CD6E77">
        <w:rPr>
          <w:rFonts w:ascii="Times New Roman" w:hAnsi="Times New Roman" w:cs="Times New Roman"/>
          <w:b/>
          <w:bCs/>
        </w:rPr>
        <w:t xml:space="preserve">failing firm </w:t>
      </w:r>
      <w:r w:rsidR="00666FC2" w:rsidRPr="00CD6E77">
        <w:rPr>
          <w:rFonts w:ascii="Times New Roman" w:hAnsi="Times New Roman" w:cs="Times New Roman"/>
          <w:b/>
          <w:bCs/>
        </w:rPr>
        <w:t>defence</w:t>
      </w:r>
      <w:r w:rsidRPr="00D57322">
        <w:rPr>
          <w:rFonts w:ascii="Times New Roman" w:hAnsi="Times New Roman" w:cs="Times New Roman"/>
        </w:rPr>
        <w:t xml:space="preserve">" comes into play – a complex but vital concept that the Competition </w:t>
      </w:r>
      <w:r w:rsidR="00C23904">
        <w:rPr>
          <w:rFonts w:ascii="Times New Roman" w:hAnsi="Times New Roman" w:cs="Times New Roman"/>
        </w:rPr>
        <w:t>&amp; Tariff Commission</w:t>
      </w:r>
      <w:r w:rsidR="006A7DF8">
        <w:rPr>
          <w:rFonts w:ascii="Times New Roman" w:hAnsi="Times New Roman" w:cs="Times New Roman"/>
        </w:rPr>
        <w:t xml:space="preserve"> </w:t>
      </w:r>
      <w:r w:rsidR="006A7DF8" w:rsidRPr="006A7DF8">
        <w:rPr>
          <w:rFonts w:ascii="Times New Roman" w:hAnsi="Times New Roman" w:cs="Times New Roman"/>
          <w:b/>
          <w:bCs/>
        </w:rPr>
        <w:t>(“Commission”)</w:t>
      </w:r>
      <w:r w:rsidRPr="00D57322">
        <w:rPr>
          <w:rFonts w:ascii="Times New Roman" w:hAnsi="Times New Roman" w:cs="Times New Roman"/>
        </w:rPr>
        <w:t xml:space="preserve"> carefully considers in its merger regulation landscape.</w:t>
      </w:r>
    </w:p>
    <w:p w14:paraId="12E47BEB" w14:textId="77777777" w:rsidR="00C23904" w:rsidRPr="00D57322" w:rsidRDefault="00C23904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F70EBC" w14:textId="10EEF0C8" w:rsidR="00D57322" w:rsidRPr="00453F5D" w:rsidRDefault="00D57322" w:rsidP="00453F5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53F5D">
        <w:rPr>
          <w:rFonts w:ascii="Times New Roman" w:hAnsi="Times New Roman" w:cs="Times New Roman"/>
          <w:b/>
          <w:bCs/>
        </w:rPr>
        <w:t xml:space="preserve">Failing Firm </w:t>
      </w:r>
      <w:r w:rsidR="00666FC2" w:rsidRPr="00453F5D">
        <w:rPr>
          <w:rFonts w:ascii="Times New Roman" w:hAnsi="Times New Roman" w:cs="Times New Roman"/>
          <w:b/>
          <w:bCs/>
        </w:rPr>
        <w:t>Defence</w:t>
      </w:r>
    </w:p>
    <w:p w14:paraId="32ED45C3" w14:textId="77777777" w:rsidR="00260DE7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 xml:space="preserve">At its heart, the "failing firm </w:t>
      </w:r>
      <w:r w:rsidR="00666FC2">
        <w:rPr>
          <w:rFonts w:ascii="Times New Roman" w:hAnsi="Times New Roman" w:cs="Times New Roman"/>
        </w:rPr>
        <w:t>defence</w:t>
      </w:r>
      <w:r w:rsidRPr="00D57322">
        <w:rPr>
          <w:rFonts w:ascii="Times New Roman" w:hAnsi="Times New Roman" w:cs="Times New Roman"/>
        </w:rPr>
        <w:t>" is an argument made by merging parties that a proposed acquisition should be permitted because one of the companies is on the verge of financial collapse and would otherwise exit the market entirely. The premise is that allowing a merger, even with potential competiti</w:t>
      </w:r>
      <w:r w:rsidR="0096721B">
        <w:rPr>
          <w:rFonts w:ascii="Times New Roman" w:hAnsi="Times New Roman" w:cs="Times New Roman"/>
        </w:rPr>
        <w:t>on</w:t>
      </w:r>
      <w:r w:rsidRPr="00D57322">
        <w:rPr>
          <w:rFonts w:ascii="Times New Roman" w:hAnsi="Times New Roman" w:cs="Times New Roman"/>
        </w:rPr>
        <w:t xml:space="preserve"> concerns, is preferable to the complete disappearance of the struggling firm, which would lead to a total loss of its competitive contribution and job losses.</w:t>
      </w:r>
      <w:r w:rsidR="009C5214">
        <w:rPr>
          <w:rFonts w:ascii="Times New Roman" w:hAnsi="Times New Roman" w:cs="Times New Roman"/>
        </w:rPr>
        <w:t xml:space="preserve"> </w:t>
      </w:r>
    </w:p>
    <w:p w14:paraId="5A7D25B6" w14:textId="77777777" w:rsidR="00260DE7" w:rsidRDefault="00260DE7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1BF82B" w14:textId="539A1DFC" w:rsid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>A "</w:t>
      </w:r>
      <w:r w:rsidRPr="00260DE7">
        <w:rPr>
          <w:rFonts w:ascii="Times New Roman" w:hAnsi="Times New Roman" w:cs="Times New Roman"/>
          <w:b/>
          <w:bCs/>
        </w:rPr>
        <w:t>failing firm</w:t>
      </w:r>
      <w:r w:rsidRPr="00D57322">
        <w:rPr>
          <w:rFonts w:ascii="Times New Roman" w:hAnsi="Times New Roman" w:cs="Times New Roman"/>
        </w:rPr>
        <w:t>" is generally defined as a company that:</w:t>
      </w:r>
      <w:r w:rsidR="0069140A">
        <w:rPr>
          <w:rFonts w:ascii="Times New Roman" w:hAnsi="Times New Roman" w:cs="Times New Roman"/>
        </w:rPr>
        <w:t>-</w:t>
      </w:r>
    </w:p>
    <w:p w14:paraId="0DC8A8C4" w14:textId="77777777" w:rsidR="0069140A" w:rsidRPr="00D57322" w:rsidRDefault="0069140A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0C7E49" w14:textId="79D20E96" w:rsidR="00D57322" w:rsidRPr="00D57322" w:rsidRDefault="00260DE7" w:rsidP="00D573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57322" w:rsidRPr="00D57322">
        <w:rPr>
          <w:rFonts w:ascii="Times New Roman" w:hAnsi="Times New Roman" w:cs="Times New Roman"/>
        </w:rPr>
        <w:t>s operating at a significant loss</w:t>
      </w:r>
      <w:r w:rsidR="006D215E">
        <w:rPr>
          <w:rFonts w:ascii="Times New Roman" w:hAnsi="Times New Roman" w:cs="Times New Roman"/>
        </w:rPr>
        <w:t>;</w:t>
      </w:r>
    </w:p>
    <w:p w14:paraId="0A55893E" w14:textId="63374A3A" w:rsidR="00D57322" w:rsidRPr="00D57322" w:rsidRDefault="00434706" w:rsidP="00D573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57322" w:rsidRPr="00D57322">
        <w:rPr>
          <w:rFonts w:ascii="Times New Roman" w:hAnsi="Times New Roman" w:cs="Times New Roman"/>
        </w:rPr>
        <w:t>arries substantial debt</w:t>
      </w:r>
      <w:r w:rsidR="006D215E">
        <w:rPr>
          <w:rFonts w:ascii="Times New Roman" w:hAnsi="Times New Roman" w:cs="Times New Roman"/>
        </w:rPr>
        <w:t>;</w:t>
      </w:r>
    </w:p>
    <w:p w14:paraId="0E7ED762" w14:textId="210DE7C8" w:rsidR="00D57322" w:rsidRPr="00D57322" w:rsidRDefault="00434706" w:rsidP="00D5732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D57322" w:rsidRPr="00D57322">
        <w:rPr>
          <w:rFonts w:ascii="Times New Roman" w:hAnsi="Times New Roman" w:cs="Times New Roman"/>
        </w:rPr>
        <w:t>s unlikely to continue as a viable business</w:t>
      </w:r>
      <w:r w:rsidR="006D215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and</w:t>
      </w:r>
    </w:p>
    <w:p w14:paraId="7FD3C65C" w14:textId="6DD0FFCD" w:rsidR="007C5485" w:rsidRDefault="00434706" w:rsidP="0040073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D57322" w:rsidRPr="00D57322">
        <w:rPr>
          <w:rFonts w:ascii="Times New Roman" w:hAnsi="Times New Roman" w:cs="Times New Roman"/>
        </w:rPr>
        <w:t>aces imminent exit from the market if the merger doesn't proceed.</w:t>
      </w:r>
    </w:p>
    <w:p w14:paraId="5B72A62B" w14:textId="77777777" w:rsidR="007C5485" w:rsidRDefault="007C5485" w:rsidP="007C54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F60AD8" w14:textId="29A844C4" w:rsidR="00400734" w:rsidRPr="007C5485" w:rsidRDefault="00400734" w:rsidP="007C54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>In an economy like Zimbabwe's, where businesses often navigate challenging operational environments, the failing firm defen</w:t>
      </w:r>
      <w:r w:rsidRPr="007C5485">
        <w:rPr>
          <w:rFonts w:ascii="Times New Roman" w:hAnsi="Times New Roman" w:cs="Times New Roman"/>
        </w:rPr>
        <w:t>c</w:t>
      </w:r>
      <w:r w:rsidRPr="00D57322">
        <w:rPr>
          <w:rFonts w:ascii="Times New Roman" w:hAnsi="Times New Roman" w:cs="Times New Roman"/>
        </w:rPr>
        <w:t>e becomes particularly relevant. It offers a pathway for distressed companies to find a buyer, preserve market presence, and potentially save jobs</w:t>
      </w:r>
      <w:r w:rsidR="007C5485" w:rsidRPr="007C5485">
        <w:rPr>
          <w:rFonts w:ascii="Times New Roman" w:hAnsi="Times New Roman" w:cs="Times New Roman"/>
        </w:rPr>
        <w:t>.</w:t>
      </w:r>
    </w:p>
    <w:p w14:paraId="17300295" w14:textId="77777777" w:rsidR="00400734" w:rsidRDefault="00400734" w:rsidP="004007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40AFC3" w14:textId="77777777" w:rsidR="00434706" w:rsidRDefault="00434706" w:rsidP="004007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73A63C" w14:textId="77777777" w:rsidR="00434706" w:rsidRPr="00D57322" w:rsidRDefault="00434706" w:rsidP="004007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280279" w14:textId="77777777" w:rsidR="007C5485" w:rsidRDefault="00400734" w:rsidP="007C548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Criteria for Scrutiny of “the Failing Firm Defence”</w:t>
      </w:r>
    </w:p>
    <w:p w14:paraId="612B5610" w14:textId="4CD85997" w:rsidR="00D57322" w:rsidRPr="007C5485" w:rsidRDefault="00D57322" w:rsidP="007C548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C5485">
        <w:rPr>
          <w:rFonts w:ascii="Times New Roman" w:hAnsi="Times New Roman" w:cs="Times New Roman"/>
        </w:rPr>
        <w:t>The</w:t>
      </w:r>
      <w:r w:rsidR="00400734" w:rsidRPr="007C5485">
        <w:rPr>
          <w:rFonts w:ascii="Times New Roman" w:hAnsi="Times New Roman" w:cs="Times New Roman"/>
        </w:rPr>
        <w:t xml:space="preserve"> </w:t>
      </w:r>
      <w:r w:rsidRPr="007C5485">
        <w:rPr>
          <w:rFonts w:ascii="Times New Roman" w:hAnsi="Times New Roman" w:cs="Times New Roman"/>
        </w:rPr>
        <w:t xml:space="preserve">Commission </w:t>
      </w:r>
      <w:r w:rsidR="00412B28">
        <w:rPr>
          <w:rFonts w:ascii="Times New Roman" w:hAnsi="Times New Roman" w:cs="Times New Roman"/>
        </w:rPr>
        <w:t>adopts</w:t>
      </w:r>
      <w:r w:rsidRPr="007C5485">
        <w:rPr>
          <w:rFonts w:ascii="Times New Roman" w:hAnsi="Times New Roman" w:cs="Times New Roman"/>
        </w:rPr>
        <w:t xml:space="preserve"> a rigorous approach to scrutinizing </w:t>
      </w:r>
      <w:r w:rsidR="007C5485" w:rsidRPr="007C5485">
        <w:rPr>
          <w:rFonts w:ascii="Times New Roman" w:hAnsi="Times New Roman" w:cs="Times New Roman"/>
        </w:rPr>
        <w:t>the failing firm defence</w:t>
      </w:r>
      <w:r w:rsidRPr="007C5485">
        <w:rPr>
          <w:rFonts w:ascii="Times New Roman" w:hAnsi="Times New Roman" w:cs="Times New Roman"/>
        </w:rPr>
        <w:t xml:space="preserve">. </w:t>
      </w:r>
      <w:r w:rsidRPr="007C5485">
        <w:rPr>
          <w:rFonts w:ascii="Times New Roman" w:hAnsi="Times New Roman" w:cs="Times New Roman"/>
          <w:b/>
          <w:bCs/>
        </w:rPr>
        <w:t>Each case is considered on its own merits</w:t>
      </w:r>
      <w:r w:rsidRPr="007C5485">
        <w:rPr>
          <w:rFonts w:ascii="Times New Roman" w:hAnsi="Times New Roman" w:cs="Times New Roman"/>
        </w:rPr>
        <w:t xml:space="preserve">, </w:t>
      </w:r>
      <w:r w:rsidR="00412B28">
        <w:rPr>
          <w:rFonts w:ascii="Times New Roman" w:hAnsi="Times New Roman" w:cs="Times New Roman"/>
        </w:rPr>
        <w:t>implying</w:t>
      </w:r>
      <w:r w:rsidRPr="007C5485">
        <w:rPr>
          <w:rFonts w:ascii="Times New Roman" w:hAnsi="Times New Roman" w:cs="Times New Roman"/>
        </w:rPr>
        <w:t xml:space="preserve"> there</w:t>
      </w:r>
      <w:r w:rsidR="00412B28">
        <w:rPr>
          <w:rFonts w:ascii="Times New Roman" w:hAnsi="Times New Roman" w:cs="Times New Roman"/>
        </w:rPr>
        <w:t xml:space="preserve"> is</w:t>
      </w:r>
      <w:r w:rsidRPr="007C5485">
        <w:rPr>
          <w:rFonts w:ascii="Times New Roman" w:hAnsi="Times New Roman" w:cs="Times New Roman"/>
        </w:rPr>
        <w:t xml:space="preserve"> no blanket approval</w:t>
      </w:r>
      <w:r w:rsidR="00C16920">
        <w:rPr>
          <w:rFonts w:ascii="Times New Roman" w:hAnsi="Times New Roman" w:cs="Times New Roman"/>
        </w:rPr>
        <w:t xml:space="preserve"> as </w:t>
      </w:r>
      <w:r w:rsidRPr="007C5485">
        <w:rPr>
          <w:rFonts w:ascii="Times New Roman" w:hAnsi="Times New Roman" w:cs="Times New Roman"/>
        </w:rPr>
        <w:t>the unique circumstances and evidence presented for every proposed merger are thoroughly assessed. For a merger to be cleared on the basis of a failing firm defen</w:t>
      </w:r>
      <w:r w:rsidR="00453F5D" w:rsidRPr="007C5485">
        <w:rPr>
          <w:rFonts w:ascii="Times New Roman" w:hAnsi="Times New Roman" w:cs="Times New Roman"/>
        </w:rPr>
        <w:t>c</w:t>
      </w:r>
      <w:r w:rsidRPr="007C5485">
        <w:rPr>
          <w:rFonts w:ascii="Times New Roman" w:hAnsi="Times New Roman" w:cs="Times New Roman"/>
        </w:rPr>
        <w:t>e, two critical tests must be met</w:t>
      </w:r>
      <w:r w:rsidR="00C16920">
        <w:rPr>
          <w:rFonts w:ascii="Times New Roman" w:hAnsi="Times New Roman" w:cs="Times New Roman"/>
        </w:rPr>
        <w:t xml:space="preserve"> as shown below</w:t>
      </w:r>
      <w:r w:rsidRPr="007C5485">
        <w:rPr>
          <w:rFonts w:ascii="Times New Roman" w:hAnsi="Times New Roman" w:cs="Times New Roman"/>
        </w:rPr>
        <w:t>:</w:t>
      </w:r>
      <w:r w:rsidR="00C16920">
        <w:rPr>
          <w:rFonts w:ascii="Times New Roman" w:hAnsi="Times New Roman" w:cs="Times New Roman"/>
        </w:rPr>
        <w:t>-</w:t>
      </w:r>
      <w:r w:rsidR="00B5692A">
        <w:rPr>
          <w:rFonts w:ascii="Times New Roman" w:hAnsi="Times New Roman" w:cs="Times New Roman"/>
        </w:rPr>
        <w:t xml:space="preserve"> </w:t>
      </w:r>
    </w:p>
    <w:p w14:paraId="04917E90" w14:textId="77777777" w:rsidR="00453F5D" w:rsidRPr="00D57322" w:rsidRDefault="00453F5D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91928E" w14:textId="2F222464" w:rsidR="00D57322" w:rsidRPr="00D57322" w:rsidRDefault="00D57322" w:rsidP="00453F5D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57322">
        <w:rPr>
          <w:rFonts w:ascii="Times New Roman" w:hAnsi="Times New Roman" w:cs="Times New Roman"/>
          <w:b/>
          <w:bCs/>
          <w:i/>
          <w:iCs/>
        </w:rPr>
        <w:t>Imminent Failure: Proving the Firm is Truly Failing</w:t>
      </w:r>
    </w:p>
    <w:p w14:paraId="692AE77D" w14:textId="2B0A268F" w:rsid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 xml:space="preserve">The first criterion requires compelling evidence that, without the proposed merger, the firm faces a </w:t>
      </w:r>
      <w:r w:rsidRPr="00D57322">
        <w:rPr>
          <w:rFonts w:ascii="Times New Roman" w:hAnsi="Times New Roman" w:cs="Times New Roman"/>
          <w:b/>
          <w:bCs/>
        </w:rPr>
        <w:t>grave probability of business failure</w:t>
      </w:r>
      <w:r w:rsidRPr="00D57322">
        <w:rPr>
          <w:rFonts w:ascii="Times New Roman" w:hAnsi="Times New Roman" w:cs="Times New Roman"/>
        </w:rPr>
        <w:t xml:space="preserve"> and would inevitably exit the market. This goes beyond just showing declining sales or net losses; </w:t>
      </w:r>
      <w:r w:rsidR="00C02EC3">
        <w:rPr>
          <w:rFonts w:ascii="Times New Roman" w:hAnsi="Times New Roman" w:cs="Times New Roman"/>
        </w:rPr>
        <w:t>and</w:t>
      </w:r>
      <w:r w:rsidRPr="00D57322">
        <w:rPr>
          <w:rFonts w:ascii="Times New Roman" w:hAnsi="Times New Roman" w:cs="Times New Roman"/>
        </w:rPr>
        <w:t xml:space="preserve"> demands clear indicators of an imminent inability to meet financial obligations.</w:t>
      </w:r>
      <w:r w:rsidR="00453F5D">
        <w:rPr>
          <w:rFonts w:ascii="Times New Roman" w:hAnsi="Times New Roman" w:cs="Times New Roman"/>
        </w:rPr>
        <w:t xml:space="preserve"> </w:t>
      </w:r>
      <w:r w:rsidRPr="00D57322">
        <w:rPr>
          <w:rFonts w:ascii="Times New Roman" w:hAnsi="Times New Roman" w:cs="Times New Roman"/>
        </w:rPr>
        <w:t>In Zimbabwe, specific local contexts provide crucial evidence</w:t>
      </w:r>
      <w:r w:rsidR="00C02EC3">
        <w:rPr>
          <w:rFonts w:ascii="Times New Roman" w:hAnsi="Times New Roman" w:cs="Times New Roman"/>
        </w:rPr>
        <w:t xml:space="preserve"> name</w:t>
      </w:r>
      <w:r w:rsidR="003B6DAB">
        <w:rPr>
          <w:rFonts w:ascii="Times New Roman" w:hAnsi="Times New Roman" w:cs="Times New Roman"/>
        </w:rPr>
        <w:t>l</w:t>
      </w:r>
      <w:r w:rsidR="00C02EC3">
        <w:rPr>
          <w:rFonts w:ascii="Times New Roman" w:hAnsi="Times New Roman" w:cs="Times New Roman"/>
        </w:rPr>
        <w:t>y</w:t>
      </w:r>
      <w:r w:rsidRPr="00D57322">
        <w:rPr>
          <w:rFonts w:ascii="Times New Roman" w:hAnsi="Times New Roman" w:cs="Times New Roman"/>
        </w:rPr>
        <w:t>:</w:t>
      </w:r>
      <w:r w:rsidR="00C02EC3">
        <w:rPr>
          <w:rFonts w:ascii="Times New Roman" w:hAnsi="Times New Roman" w:cs="Times New Roman"/>
        </w:rPr>
        <w:t>-</w:t>
      </w:r>
    </w:p>
    <w:p w14:paraId="6712BC19" w14:textId="77777777" w:rsidR="00C02EC3" w:rsidRPr="00D57322" w:rsidRDefault="00C02EC3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FF906F" w14:textId="2F2923D3" w:rsidR="00D57322" w:rsidRDefault="00D57322" w:rsidP="00D5732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  <w:b/>
          <w:bCs/>
        </w:rPr>
        <w:t>Corporate Rescue:</w:t>
      </w:r>
      <w:r w:rsidRPr="00D57322">
        <w:rPr>
          <w:rFonts w:ascii="Times New Roman" w:hAnsi="Times New Roman" w:cs="Times New Roman"/>
        </w:rPr>
        <w:t xml:space="preserve"> </w:t>
      </w:r>
      <w:r w:rsidR="003B6DAB">
        <w:rPr>
          <w:rFonts w:ascii="Times New Roman" w:hAnsi="Times New Roman" w:cs="Times New Roman"/>
        </w:rPr>
        <w:t>a</w:t>
      </w:r>
      <w:r w:rsidRPr="00D57322">
        <w:rPr>
          <w:rFonts w:ascii="Times New Roman" w:hAnsi="Times New Roman" w:cs="Times New Roman"/>
        </w:rPr>
        <w:t xml:space="preserve"> company already under </w:t>
      </w:r>
      <w:r w:rsidRPr="00D57322">
        <w:rPr>
          <w:rFonts w:ascii="Times New Roman" w:hAnsi="Times New Roman" w:cs="Times New Roman"/>
          <w:b/>
          <w:bCs/>
        </w:rPr>
        <w:t>corporate rescue</w:t>
      </w:r>
      <w:r w:rsidRPr="00D57322">
        <w:rPr>
          <w:rFonts w:ascii="Times New Roman" w:hAnsi="Times New Roman" w:cs="Times New Roman"/>
        </w:rPr>
        <w:t xml:space="preserve"> provides strong substantiation. This legal status indicates that the entity is already under a court-supervised process due to financial distress. Merging parties would typically present evidence of the firm's placement under such administration.</w:t>
      </w:r>
    </w:p>
    <w:p w14:paraId="2846ECEF" w14:textId="77777777" w:rsidR="001B59DB" w:rsidRPr="001B59DB" w:rsidRDefault="001B59DB" w:rsidP="001B59DB">
      <w:pPr>
        <w:spacing w:after="0" w:line="36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14:paraId="4054CCFD" w14:textId="59AE12EF" w:rsidR="00D57322" w:rsidRDefault="00D57322" w:rsidP="00D5732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  <w:b/>
          <w:bCs/>
        </w:rPr>
        <w:t>Inability to Pay Debts:</w:t>
      </w:r>
      <w:r w:rsidRPr="00D57322">
        <w:rPr>
          <w:rFonts w:ascii="Times New Roman" w:hAnsi="Times New Roman" w:cs="Times New Roman"/>
        </w:rPr>
        <w:t xml:space="preserve"> </w:t>
      </w:r>
      <w:r w:rsidR="001B59DB">
        <w:rPr>
          <w:rFonts w:ascii="Times New Roman" w:hAnsi="Times New Roman" w:cs="Times New Roman"/>
        </w:rPr>
        <w:t>c</w:t>
      </w:r>
      <w:r w:rsidRPr="00D57322">
        <w:rPr>
          <w:rFonts w:ascii="Times New Roman" w:hAnsi="Times New Roman" w:cs="Times New Roman"/>
        </w:rPr>
        <w:t>oncrete proof of an inability to pay debts as they fall due is paramount</w:t>
      </w:r>
      <w:r w:rsidR="001B59DB">
        <w:rPr>
          <w:rFonts w:ascii="Times New Roman" w:hAnsi="Times New Roman" w:cs="Times New Roman"/>
        </w:rPr>
        <w:t xml:space="preserve"> should be evident</w:t>
      </w:r>
      <w:r w:rsidRPr="00D57322">
        <w:rPr>
          <w:rFonts w:ascii="Times New Roman" w:hAnsi="Times New Roman" w:cs="Times New Roman"/>
        </w:rPr>
        <w:t>.</w:t>
      </w:r>
    </w:p>
    <w:p w14:paraId="11454114" w14:textId="77777777" w:rsidR="001B59DB" w:rsidRPr="00D57322" w:rsidRDefault="001B59DB" w:rsidP="001B59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48D783" w14:textId="7D65986B" w:rsid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 xml:space="preserve">The Commission primarily relies on financial metrics </w:t>
      </w:r>
      <w:r w:rsidR="006A7DF8">
        <w:rPr>
          <w:rFonts w:ascii="Times New Roman" w:hAnsi="Times New Roman" w:cs="Times New Roman"/>
        </w:rPr>
        <w:t>such as</w:t>
      </w:r>
      <w:r w:rsidRPr="00D57322">
        <w:rPr>
          <w:rFonts w:ascii="Times New Roman" w:hAnsi="Times New Roman" w:cs="Times New Roman"/>
        </w:rPr>
        <w:t xml:space="preserve"> revenue trends and profitability to ascertain the severity of the financial distress.</w:t>
      </w:r>
    </w:p>
    <w:p w14:paraId="4A48790E" w14:textId="77777777" w:rsidR="006A7DF8" w:rsidRPr="00D57322" w:rsidRDefault="006A7DF8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58068A6" w14:textId="6B577419" w:rsidR="00D57322" w:rsidRPr="00D57322" w:rsidRDefault="00D57322" w:rsidP="006A7DF8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57322">
        <w:rPr>
          <w:rFonts w:ascii="Times New Roman" w:hAnsi="Times New Roman" w:cs="Times New Roman"/>
          <w:b/>
          <w:bCs/>
          <w:i/>
          <w:iCs/>
        </w:rPr>
        <w:t>No Less Anti-Competitive Alternative Purchaser</w:t>
      </w:r>
    </w:p>
    <w:p w14:paraId="16DD240C" w14:textId="51F4E469" w:rsid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 xml:space="preserve">The second crucial test requires demonstrating that the proposed acquirer is the </w:t>
      </w:r>
      <w:r w:rsidRPr="00D57322">
        <w:rPr>
          <w:rFonts w:ascii="Times New Roman" w:hAnsi="Times New Roman" w:cs="Times New Roman"/>
          <w:b/>
          <w:bCs/>
        </w:rPr>
        <w:t>only available purchaser</w:t>
      </w:r>
      <w:r w:rsidRPr="00D57322">
        <w:rPr>
          <w:rFonts w:ascii="Times New Roman" w:hAnsi="Times New Roman" w:cs="Times New Roman"/>
        </w:rPr>
        <w:t xml:space="preserve"> whose acquisition would result in a less anti-competitive outcome than the failing firm's complete exit. This isn't just about finding </w:t>
      </w:r>
      <w:r w:rsidRPr="00D57322">
        <w:rPr>
          <w:rFonts w:ascii="Times New Roman" w:hAnsi="Times New Roman" w:cs="Times New Roman"/>
          <w:i/>
          <w:iCs/>
        </w:rPr>
        <w:t>any</w:t>
      </w:r>
      <w:r w:rsidRPr="00D57322">
        <w:rPr>
          <w:rFonts w:ascii="Times New Roman" w:hAnsi="Times New Roman" w:cs="Times New Roman"/>
        </w:rPr>
        <w:t xml:space="preserve"> buyer; it's about finding the </w:t>
      </w:r>
      <w:r w:rsidRPr="00D57322">
        <w:rPr>
          <w:rFonts w:ascii="Times New Roman" w:hAnsi="Times New Roman" w:cs="Times New Roman"/>
          <w:i/>
          <w:iCs/>
        </w:rPr>
        <w:t>least harmful</w:t>
      </w:r>
      <w:r w:rsidRPr="00D57322">
        <w:rPr>
          <w:rFonts w:ascii="Times New Roman" w:hAnsi="Times New Roman" w:cs="Times New Roman"/>
        </w:rPr>
        <w:t xml:space="preserve"> buyer from a competition perspective.</w:t>
      </w:r>
      <w:r w:rsidR="006A7DF8">
        <w:rPr>
          <w:rFonts w:ascii="Times New Roman" w:hAnsi="Times New Roman" w:cs="Times New Roman"/>
        </w:rPr>
        <w:t xml:space="preserve"> </w:t>
      </w:r>
      <w:r w:rsidRPr="00D57322">
        <w:rPr>
          <w:rFonts w:ascii="Times New Roman" w:hAnsi="Times New Roman" w:cs="Times New Roman"/>
        </w:rPr>
        <w:t>To satisfy this, the failing firm must show:</w:t>
      </w:r>
      <w:r w:rsidR="002B20AD">
        <w:rPr>
          <w:rFonts w:ascii="Times New Roman" w:hAnsi="Times New Roman" w:cs="Times New Roman"/>
        </w:rPr>
        <w:t>-</w:t>
      </w:r>
    </w:p>
    <w:p w14:paraId="7317482F" w14:textId="77777777" w:rsidR="002B20AD" w:rsidRPr="002B20AD" w:rsidRDefault="002B20AD" w:rsidP="00D57322">
      <w:pPr>
        <w:spacing w:after="0" w:line="360" w:lineRule="auto"/>
        <w:jc w:val="both"/>
        <w:rPr>
          <w:rFonts w:ascii="Times New Roman" w:hAnsi="Times New Roman" w:cs="Times New Roman"/>
          <w:sz w:val="15"/>
          <w:szCs w:val="15"/>
        </w:rPr>
      </w:pPr>
    </w:p>
    <w:p w14:paraId="3CBCAFDC" w14:textId="69985F90" w:rsidR="00D57322" w:rsidRPr="00D57322" w:rsidRDefault="00D57322" w:rsidP="00D5732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  <w:b/>
          <w:bCs/>
        </w:rPr>
        <w:t>Reasonable Efforts:</w:t>
      </w:r>
      <w:r w:rsidRPr="00D57322">
        <w:rPr>
          <w:rFonts w:ascii="Times New Roman" w:hAnsi="Times New Roman" w:cs="Times New Roman"/>
        </w:rPr>
        <w:t xml:space="preserve"> </w:t>
      </w:r>
      <w:r w:rsidR="00567F44">
        <w:rPr>
          <w:rFonts w:ascii="Times New Roman" w:hAnsi="Times New Roman" w:cs="Times New Roman"/>
        </w:rPr>
        <w:t>t</w:t>
      </w:r>
      <w:r w:rsidRPr="00D57322">
        <w:rPr>
          <w:rFonts w:ascii="Times New Roman" w:hAnsi="Times New Roman" w:cs="Times New Roman"/>
        </w:rPr>
        <w:t>hat it made reasonable and exhaustive efforts to solicit alternative offers from other potential buyers.</w:t>
      </w:r>
    </w:p>
    <w:p w14:paraId="4E7505DC" w14:textId="614F67C8" w:rsidR="006A7DF8" w:rsidRPr="00567F44" w:rsidRDefault="00D57322" w:rsidP="00567F4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  <w:b/>
          <w:bCs/>
        </w:rPr>
        <w:t>Lack of Viable Alternatives:</w:t>
      </w:r>
      <w:r w:rsidRPr="00D57322">
        <w:rPr>
          <w:rFonts w:ascii="Times New Roman" w:hAnsi="Times New Roman" w:cs="Times New Roman"/>
        </w:rPr>
        <w:t xml:space="preserve"> </w:t>
      </w:r>
      <w:r w:rsidR="00567F44">
        <w:rPr>
          <w:rFonts w:ascii="Times New Roman" w:hAnsi="Times New Roman" w:cs="Times New Roman"/>
        </w:rPr>
        <w:t>t</w:t>
      </w:r>
      <w:r w:rsidRPr="00D57322">
        <w:rPr>
          <w:rFonts w:ascii="Times New Roman" w:hAnsi="Times New Roman" w:cs="Times New Roman"/>
        </w:rPr>
        <w:t>hat no other viable buyers emerged who could acquire the firm or its assets, or whose acquisition would be less detrimental to competition.</w:t>
      </w:r>
    </w:p>
    <w:p w14:paraId="0C3A7A9E" w14:textId="65211602" w:rsidR="00D57322" w:rsidRPr="00D57322" w:rsidRDefault="00D57322" w:rsidP="006A7DF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57322">
        <w:rPr>
          <w:rFonts w:ascii="Times New Roman" w:hAnsi="Times New Roman" w:cs="Times New Roman"/>
          <w:b/>
          <w:bCs/>
        </w:rPr>
        <w:t>Timelines and High Scrutiny for the Commission's Consideration</w:t>
      </w:r>
    </w:p>
    <w:p w14:paraId="3A7EBE6A" w14:textId="405F4F01" w:rsidR="00D57322" w:rsidRDefault="00D57322" w:rsidP="00997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>Parties contemplating a merger, especially those considering relying on the failing firm defen</w:t>
      </w:r>
      <w:r w:rsidR="006A7DF8">
        <w:rPr>
          <w:rFonts w:ascii="Times New Roman" w:hAnsi="Times New Roman" w:cs="Times New Roman"/>
        </w:rPr>
        <w:t>c</w:t>
      </w:r>
      <w:r w:rsidRPr="00D57322">
        <w:rPr>
          <w:rFonts w:ascii="Times New Roman" w:hAnsi="Times New Roman" w:cs="Times New Roman"/>
        </w:rPr>
        <w:t>e, must be acutely aware of the regulatory timelines. In Zimbabwe, merger notification to the Commission must be done within 30 days of</w:t>
      </w:r>
      <w:r w:rsidRPr="00D57322">
        <w:rPr>
          <w:rFonts w:ascii="Times New Roman" w:hAnsi="Times New Roman" w:cs="Times New Roman"/>
          <w:b/>
          <w:bCs/>
        </w:rPr>
        <w:t xml:space="preserve"> </w:t>
      </w:r>
      <w:r w:rsidR="00997FB5">
        <w:rPr>
          <w:rFonts w:ascii="Times New Roman" w:hAnsi="Times New Roman" w:cs="Times New Roman"/>
          <w:b/>
          <w:bCs/>
        </w:rPr>
        <w:t xml:space="preserve">(a) </w:t>
      </w:r>
      <w:r w:rsidR="00997FB5" w:rsidRPr="00997FB5">
        <w:rPr>
          <w:rFonts w:ascii="Times New Roman" w:hAnsi="Times New Roman" w:cs="Times New Roman"/>
          <w:b/>
          <w:bCs/>
        </w:rPr>
        <w:t>the conclusion of the merger agreement between the merging parties; or</w:t>
      </w:r>
      <w:r w:rsidR="00997FB5">
        <w:rPr>
          <w:rFonts w:ascii="Times New Roman" w:hAnsi="Times New Roman" w:cs="Times New Roman"/>
          <w:b/>
          <w:bCs/>
        </w:rPr>
        <w:t xml:space="preserve"> (b) </w:t>
      </w:r>
      <w:r w:rsidR="00997FB5" w:rsidRPr="00997FB5">
        <w:rPr>
          <w:rFonts w:ascii="Times New Roman" w:hAnsi="Times New Roman" w:cs="Times New Roman"/>
          <w:b/>
          <w:bCs/>
        </w:rPr>
        <w:t>the acquisition by any one of the parties to that merger of a controlling interest in another</w:t>
      </w:r>
      <w:r w:rsidRPr="00D57322">
        <w:rPr>
          <w:rFonts w:ascii="Times New Roman" w:hAnsi="Times New Roman" w:cs="Times New Roman"/>
        </w:rPr>
        <w:t xml:space="preserve">. Failure to adhere to this strict timeline can lead to significant penalties, undermining any potential benefits from the </w:t>
      </w:r>
      <w:r w:rsidR="00997FB5">
        <w:rPr>
          <w:rFonts w:ascii="Times New Roman" w:hAnsi="Times New Roman" w:cs="Times New Roman"/>
        </w:rPr>
        <w:t>merger</w:t>
      </w:r>
      <w:r w:rsidRPr="00D57322">
        <w:rPr>
          <w:rFonts w:ascii="Times New Roman" w:hAnsi="Times New Roman" w:cs="Times New Roman"/>
        </w:rPr>
        <w:t>.</w:t>
      </w:r>
    </w:p>
    <w:p w14:paraId="31A8B4CC" w14:textId="77777777" w:rsidR="006D215E" w:rsidRDefault="006D215E" w:rsidP="00997F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DF953B" w14:textId="177A33A2" w:rsidR="006D215E" w:rsidRPr="006D215E" w:rsidRDefault="006D215E" w:rsidP="006D215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D215E">
        <w:rPr>
          <w:rFonts w:ascii="Times New Roman" w:hAnsi="Times New Roman" w:cs="Times New Roman"/>
          <w:b/>
          <w:bCs/>
        </w:rPr>
        <w:t>Conclusion</w:t>
      </w:r>
    </w:p>
    <w:p w14:paraId="62EC435A" w14:textId="36F27074" w:rsidR="00997FB5" w:rsidRPr="00D57322" w:rsidRDefault="00D57322" w:rsidP="00997F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57322">
        <w:rPr>
          <w:rFonts w:ascii="Times New Roman" w:hAnsi="Times New Roman" w:cs="Times New Roman"/>
        </w:rPr>
        <w:t>The failing firm defen</w:t>
      </w:r>
      <w:r w:rsidR="00997FB5">
        <w:rPr>
          <w:rFonts w:ascii="Times New Roman" w:hAnsi="Times New Roman" w:cs="Times New Roman"/>
        </w:rPr>
        <w:t>c</w:t>
      </w:r>
      <w:r w:rsidRPr="00D57322">
        <w:rPr>
          <w:rFonts w:ascii="Times New Roman" w:hAnsi="Times New Roman" w:cs="Times New Roman"/>
        </w:rPr>
        <w:t xml:space="preserve">e remains subject to a very high level of scrutiny by the Commission. Companies must provide extensive and detailed evidence to substantiate their claims. </w:t>
      </w:r>
      <w:r w:rsidR="00E2254E">
        <w:rPr>
          <w:rFonts w:ascii="Times New Roman" w:hAnsi="Times New Roman" w:cs="Times New Roman"/>
        </w:rPr>
        <w:t xml:space="preserve">This is the evidence that is required by the </w:t>
      </w:r>
      <w:r w:rsidRPr="00D57322">
        <w:rPr>
          <w:rFonts w:ascii="Times New Roman" w:hAnsi="Times New Roman" w:cs="Times New Roman"/>
        </w:rPr>
        <w:t xml:space="preserve">Commission </w:t>
      </w:r>
      <w:r w:rsidR="00E2254E">
        <w:rPr>
          <w:rFonts w:ascii="Times New Roman" w:hAnsi="Times New Roman" w:cs="Times New Roman"/>
        </w:rPr>
        <w:t>for it to</w:t>
      </w:r>
      <w:r w:rsidRPr="00D57322">
        <w:rPr>
          <w:rFonts w:ascii="Times New Roman" w:hAnsi="Times New Roman" w:cs="Times New Roman"/>
        </w:rPr>
        <w:t xml:space="preserve"> authorize a merger that would otherwise be expected to substantially lessen competition</w:t>
      </w:r>
      <w:r w:rsidR="00997FB5">
        <w:rPr>
          <w:rFonts w:ascii="Times New Roman" w:hAnsi="Times New Roman" w:cs="Times New Roman"/>
        </w:rPr>
        <w:t xml:space="preserve">, </w:t>
      </w:r>
      <w:r w:rsidR="00997FB5" w:rsidRPr="00D57322">
        <w:rPr>
          <w:rFonts w:ascii="Times New Roman" w:hAnsi="Times New Roman" w:cs="Times New Roman"/>
        </w:rPr>
        <w:t>ensur</w:t>
      </w:r>
      <w:r w:rsidR="00997FB5">
        <w:rPr>
          <w:rFonts w:ascii="Times New Roman" w:hAnsi="Times New Roman" w:cs="Times New Roman"/>
        </w:rPr>
        <w:t>ing</w:t>
      </w:r>
      <w:r w:rsidR="00997FB5" w:rsidRPr="00D57322">
        <w:rPr>
          <w:rFonts w:ascii="Times New Roman" w:hAnsi="Times New Roman" w:cs="Times New Roman"/>
        </w:rPr>
        <w:t xml:space="preserve"> that struggling firms can find a lifeline </w:t>
      </w:r>
      <w:r w:rsidR="00997FB5">
        <w:rPr>
          <w:rFonts w:ascii="Times New Roman" w:hAnsi="Times New Roman" w:cs="Times New Roman"/>
        </w:rPr>
        <w:t xml:space="preserve">and avoid market exit. </w:t>
      </w:r>
    </w:p>
    <w:p w14:paraId="2B5BB922" w14:textId="1CE0C716" w:rsidR="00D57322" w:rsidRPr="00D57322" w:rsidRDefault="00D57322" w:rsidP="00D5732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D57322" w:rsidRPr="00D573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957C" w14:textId="77777777" w:rsidR="00337D7E" w:rsidRDefault="00337D7E" w:rsidP="006A7DF8">
      <w:pPr>
        <w:spacing w:after="0" w:line="240" w:lineRule="auto"/>
      </w:pPr>
      <w:r>
        <w:separator/>
      </w:r>
    </w:p>
  </w:endnote>
  <w:endnote w:type="continuationSeparator" w:id="0">
    <w:p w14:paraId="2108730A" w14:textId="77777777" w:rsidR="00337D7E" w:rsidRDefault="00337D7E" w:rsidP="006A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911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4AE9C" w14:textId="052F0BB3" w:rsidR="006A7DF8" w:rsidRDefault="006A7D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B584C" w14:textId="77777777" w:rsidR="006A7DF8" w:rsidRDefault="006A7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BEEF" w14:textId="77777777" w:rsidR="00337D7E" w:rsidRDefault="00337D7E" w:rsidP="006A7DF8">
      <w:pPr>
        <w:spacing w:after="0" w:line="240" w:lineRule="auto"/>
      </w:pPr>
      <w:r>
        <w:separator/>
      </w:r>
    </w:p>
  </w:footnote>
  <w:footnote w:type="continuationSeparator" w:id="0">
    <w:p w14:paraId="61A77EAD" w14:textId="77777777" w:rsidR="00337D7E" w:rsidRDefault="00337D7E" w:rsidP="006A7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A84"/>
    <w:multiLevelType w:val="multilevel"/>
    <w:tmpl w:val="6A605C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B50B2D"/>
    <w:multiLevelType w:val="multilevel"/>
    <w:tmpl w:val="EEBC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71B1F"/>
    <w:multiLevelType w:val="multilevel"/>
    <w:tmpl w:val="6E9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B6B98"/>
    <w:multiLevelType w:val="multilevel"/>
    <w:tmpl w:val="00C4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96B6F"/>
    <w:multiLevelType w:val="multilevel"/>
    <w:tmpl w:val="9572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62127">
    <w:abstractNumId w:val="3"/>
  </w:num>
  <w:num w:numId="2" w16cid:durableId="1651444640">
    <w:abstractNumId w:val="1"/>
  </w:num>
  <w:num w:numId="3" w16cid:durableId="121507926">
    <w:abstractNumId w:val="2"/>
  </w:num>
  <w:num w:numId="4" w16cid:durableId="1314945597">
    <w:abstractNumId w:val="4"/>
  </w:num>
  <w:num w:numId="5" w16cid:durableId="134952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22"/>
    <w:rsid w:val="000170D3"/>
    <w:rsid w:val="00054A00"/>
    <w:rsid w:val="0005682A"/>
    <w:rsid w:val="001519B9"/>
    <w:rsid w:val="001B59DB"/>
    <w:rsid w:val="001F1A69"/>
    <w:rsid w:val="001F4ABB"/>
    <w:rsid w:val="002310B7"/>
    <w:rsid w:val="00247FAB"/>
    <w:rsid w:val="00260DE7"/>
    <w:rsid w:val="002A4AC8"/>
    <w:rsid w:val="002B20AD"/>
    <w:rsid w:val="00337D7E"/>
    <w:rsid w:val="003A0239"/>
    <w:rsid w:val="003B6DAB"/>
    <w:rsid w:val="003D3F88"/>
    <w:rsid w:val="00400734"/>
    <w:rsid w:val="00412B28"/>
    <w:rsid w:val="00434706"/>
    <w:rsid w:val="00453F5D"/>
    <w:rsid w:val="004D7724"/>
    <w:rsid w:val="00567F44"/>
    <w:rsid w:val="0062737E"/>
    <w:rsid w:val="00666FC2"/>
    <w:rsid w:val="00682ECD"/>
    <w:rsid w:val="0069140A"/>
    <w:rsid w:val="006A7DF8"/>
    <w:rsid w:val="006D215E"/>
    <w:rsid w:val="007C5485"/>
    <w:rsid w:val="0096721B"/>
    <w:rsid w:val="0097035B"/>
    <w:rsid w:val="00997FB5"/>
    <w:rsid w:val="009B1E4A"/>
    <w:rsid w:val="009C5214"/>
    <w:rsid w:val="00A1764F"/>
    <w:rsid w:val="00A767C9"/>
    <w:rsid w:val="00A871E3"/>
    <w:rsid w:val="00AE1B6F"/>
    <w:rsid w:val="00AF149B"/>
    <w:rsid w:val="00B5692A"/>
    <w:rsid w:val="00B72538"/>
    <w:rsid w:val="00C02EC3"/>
    <w:rsid w:val="00C16920"/>
    <w:rsid w:val="00C23904"/>
    <w:rsid w:val="00CD4D99"/>
    <w:rsid w:val="00CD6E77"/>
    <w:rsid w:val="00CE433B"/>
    <w:rsid w:val="00D57322"/>
    <w:rsid w:val="00DC1E75"/>
    <w:rsid w:val="00E2254E"/>
    <w:rsid w:val="00E61180"/>
    <w:rsid w:val="00FB1CF1"/>
    <w:rsid w:val="00FB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5D82"/>
  <w15:chartTrackingRefBased/>
  <w15:docId w15:val="{A6503E3B-408E-4F12-AC90-EEFAB76B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3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F8"/>
  </w:style>
  <w:style w:type="paragraph" w:styleId="Footer">
    <w:name w:val="footer"/>
    <w:basedOn w:val="Normal"/>
    <w:link w:val="FooterChar"/>
    <w:uiPriority w:val="99"/>
    <w:unhideWhenUsed/>
    <w:rsid w:val="006A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Calistar  Dzenga</dc:creator>
  <cp:keywords/>
  <dc:description/>
  <cp:lastModifiedBy>Ellen  Ruparanganda</cp:lastModifiedBy>
  <cp:revision>32</cp:revision>
  <dcterms:created xsi:type="dcterms:W3CDTF">2025-05-22T11:07:00Z</dcterms:created>
  <dcterms:modified xsi:type="dcterms:W3CDTF">2025-05-22T12:03:00Z</dcterms:modified>
</cp:coreProperties>
</file>